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ind w:left="660"/>
        <w:spacing w:line="360" w:lineRule="auto"/>
        <w:rPr>
          <w:rFonts w:asciiTheme="minorEastAsia" w:hAnsiTheme="minorEastAsia"/>
          <w:bCs/>
          <w:color w:val="auto"/>
          <w:sz w:val="30"/>
          <w:highlight w:val="none"/>
        </w:rPr>
      </w:pPr>
      <w:r/>
      <w:bookmarkStart w:id="163" w:name="_GoBack"/>
      <w:r/>
      <w:bookmarkEnd w:id="163"/>
      <w:r/>
      <w:r/>
    </w:p>
    <w:p>
      <w:pPr>
        <w:jc w:val="center"/>
        <w:spacing w:line="360" w:lineRule="auto"/>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 xml:space="preserve">无锡市政府采购项目</w:t>
      </w:r>
      <w:r/>
    </w:p>
    <w:p>
      <w:pPr>
        <w:jc w:val="center"/>
        <w:spacing w:line="360" w:lineRule="auto"/>
        <w:rPr>
          <w:rFonts w:asciiTheme="minorEastAsia" w:hAnsiTheme="minorEastAsia"/>
          <w:b/>
          <w:bCs/>
          <w:color w:val="auto"/>
          <w:sz w:val="30"/>
          <w:highlight w:val="none"/>
        </w:rPr>
      </w:pPr>
      <w:r>
        <w:rPr>
          <w:rFonts w:hint="eastAsia" w:asciiTheme="minorEastAsia" w:hAnsiTheme="minorEastAsia"/>
          <w:b/>
          <w:bCs/>
          <w:color w:val="auto"/>
          <w:sz w:val="30"/>
          <w:highlight w:val="none"/>
        </w:rPr>
        <w:t xml:space="preserve">（全流程电子化）</w:t>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jc w:val="center"/>
        <w:spacing w:line="360" w:lineRule="auto"/>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 xml:space="preserve">公开</w:t>
      </w:r>
      <w:r>
        <w:rPr>
          <w:rFonts w:asciiTheme="minorEastAsia" w:hAnsiTheme="minorEastAsia"/>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Theme="minorEastAsia" w:hAnsiTheme="minorEastAsia"/>
          <w:b/>
          <w:bCs/>
          <w:color w:val="auto"/>
          <w:spacing w:val="20"/>
          <w:sz w:val="52"/>
          <w:szCs w:val="52"/>
          <w:highlight w:val="none"/>
        </w:rPr>
        <w:t xml:space="preserve">招标文件</w:t>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ind w:firstLine="1500"/>
        <w:jc w:val="both"/>
        <w:spacing w:line="360" w:lineRule="auto"/>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采购项目编号：</w:t>
      </w:r>
      <w:r>
        <w:rPr>
          <w:rFonts w:hint="eastAsia" w:eastAsia="宋体" w:asciiTheme="minorEastAsia" w:hAnsiTheme="minorEastAsia"/>
          <w:bCs/>
          <w:color w:val="auto"/>
          <w:sz w:val="30"/>
          <w:szCs w:val="30"/>
          <w:highlight w:val="none"/>
          <w:lang w:eastAsia="zh-CN"/>
        </w:rPr>
        <w:t xml:space="preserve">JSZC-320211-SRZJ-G2025-0008</w:t>
      </w:r>
      <w:r>
        <w:rPr>
          <w:rFonts w:hint="eastAsia" w:eastAsia="宋体" w:asciiTheme="minorEastAsia" w:hAnsiTheme="minorEastAsia"/>
          <w:bCs/>
          <w:color w:val="auto"/>
          <w:sz w:val="30"/>
          <w:szCs w:val="30"/>
          <w:highlight w:val="none"/>
          <w:lang w:eastAsia="zh-CN"/>
        </w:rPr>
        <w:tab/>
      </w:r>
      <w:r/>
    </w:p>
    <w:p>
      <w:pPr>
        <w:ind w:firstLine="1500"/>
        <w:jc w:val="both"/>
        <w:spacing w:line="360" w:lineRule="auto"/>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采购项目名称：</w:t>
      </w:r>
      <w:r>
        <w:rPr>
          <w:rFonts w:hint="eastAsia" w:eastAsia="宋体" w:asciiTheme="minorEastAsia" w:hAnsiTheme="minorEastAsia"/>
          <w:bCs/>
          <w:color w:val="auto"/>
          <w:sz w:val="30"/>
          <w:szCs w:val="30"/>
          <w:highlight w:val="none"/>
          <w:lang w:eastAsia="zh-CN"/>
        </w:rPr>
        <w:t xml:space="preserve">雪浪交警五中队警用装备、设备采购项目</w:t>
      </w:r>
      <w:r/>
    </w:p>
    <w:p>
      <w:pPr>
        <w:ind w:firstLine="1500"/>
        <w:jc w:val="both"/>
        <w:spacing w:line="360" w:lineRule="auto"/>
        <w:rPr>
          <w:rFonts w:asciiTheme="minorEastAsia" w:hAnsiTheme="minorEastAsia"/>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无锡市滨湖区雪浪街道办事处</w:t>
      </w:r>
      <w:r>
        <w:rPr>
          <w:rFonts w:asciiTheme="minorEastAsia" w:hAnsiTheme="minorEastAsia"/>
          <w:bCs/>
          <w:color w:val="auto"/>
          <w:sz w:val="30"/>
          <w:szCs w:val="30"/>
          <w:highlight w:val="none"/>
        </w:rPr>
        <w:t xml:space="preserve"> </w:t>
      </w:r>
      <w:r/>
    </w:p>
    <w:p>
      <w:pPr>
        <w:ind w:firstLine="1500"/>
        <w:jc w:val="both"/>
        <w:spacing w:line="360" w:lineRule="auto"/>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 xml:space="preserve">采购代理机构：江苏融智建工程咨询有限公司</w:t>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 xml:space="preserve">二〇二五年</w:t>
      </w:r>
      <w:r>
        <w:rPr>
          <w:rFonts w:hint="eastAsia" w:ascii="宋体" w:hAnsi="宋体" w:eastAsia="宋体" w:cs="宋体"/>
          <w:bCs/>
          <w:color w:val="auto"/>
          <w:sz w:val="44"/>
          <w:szCs w:val="44"/>
          <w:highlight w:val="none"/>
          <w:lang w:val="en-US" w:eastAsia="zh-CN"/>
        </w:rPr>
        <w:t xml:space="preserve">十一</w:t>
      </w:r>
      <w:r>
        <w:rPr>
          <w:rFonts w:hint="eastAsia" w:ascii="宋体" w:hAnsi="宋体" w:eastAsia="宋体" w:cs="宋体"/>
          <w:bCs/>
          <w:color w:val="auto"/>
          <w:sz w:val="44"/>
          <w:szCs w:val="44"/>
          <w:highlight w:val="none"/>
        </w:rPr>
        <w:t xml:space="preserve">月</w:t>
      </w:r>
      <w:r/>
    </w:p>
    <w:p>
      <w:pPr>
        <w:spacing w:line="360" w:lineRule="auto"/>
        <w:rPr>
          <w:rStyle w:val="799"/>
          <w:rFonts w:asciiTheme="minorEastAsia" w:hAnsiTheme="minorEastAsia"/>
          <w:bCs/>
          <w:color w:val="auto"/>
          <w:sz w:val="48"/>
          <w:highlight w:val="none"/>
        </w:rPr>
      </w:pPr>
      <w:r>
        <w:rPr>
          <w:rFonts w:asciiTheme="minorEastAsia" w:hAnsiTheme="minorEastAsia"/>
          <w:bCs/>
          <w:color w:val="auto"/>
          <w:sz w:val="48"/>
          <w:highlight w:val="none"/>
        </w:rPr>
      </w:r>
      <w:r/>
    </w:p>
    <w:p>
      <w:pPr>
        <w:jc w:val="center"/>
        <w:spacing w:line="360" w:lineRule="auto"/>
        <w:rPr>
          <w:rStyle w:val="799"/>
          <w:rFonts w:asciiTheme="minorEastAsia" w:hAnsiTheme="minorEastAsia"/>
          <w:bCs/>
          <w:color w:val="auto"/>
          <w:sz w:val="48"/>
          <w:highlight w:val="none"/>
          <w:u w:val="none"/>
        </w:rPr>
      </w:pPr>
      <w:r>
        <w:rPr>
          <w:rFonts w:asciiTheme="minorEastAsia" w:hAnsiTheme="minorEastAsia"/>
          <w:bCs/>
          <w:color w:val="auto"/>
          <w:sz w:val="48"/>
          <w:highlight w:val="none"/>
          <w:u w:val="none"/>
        </w:rPr>
      </w:r>
      <w:r/>
    </w:p>
    <w:p>
      <w:pPr>
        <w:jc w:val="center"/>
        <w:spacing w:line="360" w:lineRule="auto"/>
        <w:rPr>
          <w:rStyle w:val="799"/>
          <w:rFonts w:asciiTheme="minorEastAsia" w:hAnsiTheme="minorEastAsia"/>
          <w:bCs/>
          <w:color w:val="auto"/>
          <w:sz w:val="48"/>
          <w:highlight w:val="none"/>
          <w:u w:val="none"/>
        </w:rPr>
      </w:pPr>
      <w:r>
        <w:rPr>
          <w:rFonts w:asciiTheme="minorEastAsia" w:hAnsiTheme="minorEastAsia"/>
          <w:bCs/>
          <w:color w:val="auto"/>
          <w:sz w:val="48"/>
          <w:highlight w:val="none"/>
          <w:u w:val="none"/>
        </w:rPr>
      </w:r>
      <w:r/>
    </w:p>
    <w:p>
      <w:pPr>
        <w:jc w:val="center"/>
        <w:spacing w:line="360" w:lineRule="auto"/>
        <w:rPr>
          <w:rStyle w:val="799"/>
          <w:rFonts w:asciiTheme="minorEastAsia" w:hAnsiTheme="minorEastAsia"/>
          <w:bCs/>
          <w:color w:val="auto"/>
          <w:sz w:val="48"/>
          <w:highlight w:val="none"/>
          <w:u w:val="none"/>
        </w:rPr>
      </w:pPr>
      <w:r>
        <w:rPr>
          <w:rFonts w:asciiTheme="minorEastAsia" w:hAnsiTheme="minorEastAsia"/>
          <w:bCs/>
          <w:color w:val="auto"/>
          <w:sz w:val="48"/>
          <w:highlight w:val="none"/>
          <w:u w:val="none"/>
        </w:rPr>
      </w:r>
      <w:r/>
    </w:p>
    <w:p>
      <w:pPr>
        <w:pStyle w:val="1138"/>
        <w:ind w:firstLine="0"/>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Theme="minorEastAsia" w:hAnsiTheme="minorEastAsia"/>
          <w:bCs/>
          <w:color w:val="auto"/>
          <w:sz w:val="28"/>
          <w:szCs w:val="28"/>
          <w:highlight w:val="none"/>
        </w:rPr>
      </w:pPr>
      <w:r>
        <w:rPr>
          <w:rFonts w:asciiTheme="minorEastAsia" w:hAnsiTheme="minorEastAsia"/>
          <w:bCs/>
          <w:color w:val="auto"/>
          <w:sz w:val="28"/>
          <w:szCs w:val="28"/>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spacing w:line="360" w:lineRule="auto"/>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pStyle w:val="781"/>
        <w:ind w:firstLine="0"/>
        <w:jc w:val="both"/>
        <w:spacing w:line="360" w:lineRule="auto"/>
        <w:rPr>
          <w:rFonts w:asciiTheme="minorEastAsia" w:hAnsiTheme="minorEastAsia"/>
          <w:color w:val="auto"/>
          <w:highlight w:val="none"/>
        </w:rPr>
      </w:pPr>
      <w:r/>
      <w:bookmarkStart w:id="0" w:name="报价方须知前附表"/>
      <w:r/>
      <w:bookmarkEnd w:id="0"/>
      <w:r/>
      <w:r/>
    </w:p>
    <w:p>
      <w:pPr>
        <w:jc w:val="center"/>
        <w:spacing w:line="360" w:lineRule="auto"/>
        <w:rPr>
          <w:rFonts w:asciiTheme="minorEastAsia" w:hAnsiTheme="minorEastAsia"/>
          <w:b/>
          <w:bCs/>
          <w:color w:val="auto"/>
          <w:sz w:val="28"/>
          <w:szCs w:val="28"/>
          <w:highlight w:val="none"/>
        </w:rPr>
      </w:pPr>
      <w:r>
        <w:rPr>
          <w:rFonts w:asciiTheme="minorEastAsia" w:hAnsiTheme="minorEastAsia"/>
          <w:b/>
          <w:bCs/>
          <w:color w:val="auto"/>
          <w:sz w:val="28"/>
          <w:szCs w:val="28"/>
          <w:highlight w:val="none"/>
        </w:rPr>
      </w:r>
      <w:r/>
    </w:p>
    <w:p>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r/>
    </w:p>
    <w:p>
      <w:pPr>
        <w:jc w:val="center"/>
        <w:spacing w:line="360" w:lineRule="auto"/>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 xml:space="preserve">第</w:t>
      </w:r>
      <w:r>
        <w:rPr>
          <w:rFonts w:hint="eastAsia" w:ascii="黑体" w:hAnsi="黑体" w:eastAsia="黑体" w:cs="黑体"/>
          <w:b w:val="0"/>
          <w:bCs w:val="0"/>
          <w:color w:val="auto"/>
          <w:sz w:val="36"/>
          <w:szCs w:val="36"/>
          <w:highlight w:val="none"/>
          <w:lang w:val="en-US" w:eastAsia="zh-CN"/>
        </w:rPr>
        <w:t xml:space="preserve">一</w:t>
      </w:r>
      <w:r>
        <w:rPr>
          <w:rFonts w:hint="eastAsia" w:ascii="黑体" w:hAnsi="黑体" w:eastAsia="黑体" w:cs="黑体"/>
          <w:b w:val="0"/>
          <w:bCs w:val="0"/>
          <w:color w:val="auto"/>
          <w:sz w:val="36"/>
          <w:szCs w:val="36"/>
          <w:highlight w:val="none"/>
        </w:rPr>
        <w:t xml:space="preserve">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 xml:space="preserve">投标邀请函</w:t>
      </w:r>
      <w:r/>
    </w:p>
    <w:p>
      <w:pPr>
        <w:ind w:firstLine="480"/>
        <w:spacing w:line="360" w:lineRule="auto"/>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 xml:space="preserve">江苏融智建工程咨询有限公司</w:t>
      </w:r>
      <w:r>
        <w:rPr>
          <w:rFonts w:hint="eastAsia" w:asciiTheme="minorEastAsia" w:hAnsiTheme="minorEastAsia"/>
          <w:bCs/>
          <w:color w:val="auto"/>
          <w:sz w:val="24"/>
          <w:szCs w:val="24"/>
          <w:highlight w:val="none"/>
        </w:rPr>
        <w:t xml:space="preserve">受</w:t>
      </w:r>
      <w:r>
        <w:rPr>
          <w:rFonts w:hint="eastAsia" w:eastAsia="宋体" w:asciiTheme="minorEastAsia" w:hAnsiTheme="minorEastAsia"/>
          <w:bCs/>
          <w:color w:val="auto"/>
          <w:sz w:val="24"/>
          <w:highlight w:val="none"/>
          <w:u w:val="single"/>
          <w:lang w:eastAsia="zh-CN"/>
        </w:rPr>
        <w:t xml:space="preserve">无锡市滨湖区雪浪街道办事处</w:t>
      </w:r>
      <w:r>
        <w:rPr>
          <w:rFonts w:hint="eastAsia" w:asciiTheme="minorEastAsia" w:hAnsiTheme="minorEastAsia"/>
          <w:bCs/>
          <w:color w:val="auto"/>
          <w:sz w:val="24"/>
          <w:szCs w:val="24"/>
          <w:highlight w:val="none"/>
        </w:rPr>
        <w:t xml:space="preserve">的委托，对</w:t>
      </w:r>
      <w:r>
        <w:rPr>
          <w:rFonts w:hint="eastAsia" w:eastAsia="宋体" w:asciiTheme="minorEastAsia" w:hAnsiTheme="minorEastAsia"/>
          <w:bCs/>
          <w:color w:val="auto"/>
          <w:sz w:val="24"/>
          <w:highlight w:val="none"/>
          <w:u w:val="single"/>
          <w:lang w:eastAsia="zh-CN"/>
        </w:rPr>
        <w:t xml:space="preserve">雪浪交警五中队警用装备、设备采购项目</w:t>
      </w:r>
      <w:r>
        <w:rPr>
          <w:rFonts w:hint="eastAsia" w:asciiTheme="minorEastAsia" w:hAnsiTheme="minorEastAsia"/>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eastAsia="宋体" w:cs="宋体" w:asciiTheme="minorEastAsia" w:hAnsiTheme="minorEastAsia"/>
          <w:color w:val="auto"/>
          <w:sz w:val="24"/>
          <w:highlight w:val="none"/>
          <w:lang w:eastAsia="zh-CN"/>
        </w:rPr>
        <w:t xml:space="preserve">雪浪交警五中队警用装备、设备采购项目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eastAsia="宋体"/>
          <w:b/>
          <w:bCs/>
          <w:color w:val="auto"/>
          <w:sz w:val="24"/>
          <w:szCs w:val="24"/>
          <w:highlight w:val="none"/>
          <w:lang w:eastAsia="zh-CN"/>
        </w:rPr>
        <w:t xml:space="preserve">2025年</w:t>
      </w:r>
      <w:r>
        <w:rPr>
          <w:rFonts w:hint="eastAsia" w:ascii="宋体" w:hAnsi="宋体" w:eastAsia="宋体"/>
          <w:b/>
          <w:bCs/>
          <w:color w:val="auto"/>
          <w:sz w:val="24"/>
          <w:szCs w:val="24"/>
          <w:highlight w:val="none"/>
          <w:lang w:val="en-US" w:eastAsia="zh-CN"/>
        </w:rPr>
        <w:t xml:space="preserve">12</w:t>
      </w:r>
      <w:r>
        <w:rPr>
          <w:rFonts w:hint="eastAsia" w:ascii="宋体" w:hAnsi="宋体" w:eastAsia="宋体"/>
          <w:b/>
          <w:bCs/>
          <w:color w:val="auto"/>
          <w:sz w:val="24"/>
          <w:szCs w:val="24"/>
          <w:highlight w:val="none"/>
          <w:lang w:eastAsia="zh-CN"/>
        </w:rPr>
        <w:t xml:space="preserve">月</w:t>
      </w:r>
      <w:r>
        <w:rPr>
          <w:rFonts w:hint="eastAsia" w:ascii="宋体" w:hAnsi="宋体" w:eastAsia="宋体"/>
          <w:b/>
          <w:bCs/>
          <w:color w:val="auto"/>
          <w:sz w:val="24"/>
          <w:szCs w:val="24"/>
          <w:highlight w:val="none"/>
          <w:lang w:val="en-US" w:eastAsia="zh-CN"/>
        </w:rPr>
        <w:t xml:space="preserve">9</w:t>
      </w:r>
      <w:r>
        <w:rPr>
          <w:rFonts w:hint="eastAsia" w:ascii="宋体" w:hAnsi="宋体" w:eastAsia="宋体"/>
          <w:b/>
          <w:bCs/>
          <w:color w:val="auto"/>
          <w:sz w:val="24"/>
          <w:szCs w:val="24"/>
          <w:highlight w:val="none"/>
          <w:lang w:eastAsia="zh-CN"/>
        </w:rPr>
        <w:t xml:space="preserve">日</w:t>
      </w:r>
      <w:r>
        <w:rPr>
          <w:rFonts w:hint="eastAsia" w:ascii="宋体" w:hAnsi="宋体" w:eastAsia="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（一）</w:t>
      </w:r>
      <w:r>
        <w:rPr>
          <w:rFonts w:hint="eastAsia" w:cs="宋体" w:asciiTheme="minorEastAsia" w:hAnsiTheme="minorEastAsia"/>
          <w:b/>
          <w:color w:val="auto"/>
          <w:sz w:val="24"/>
          <w:szCs w:val="24"/>
          <w:highlight w:val="none"/>
        </w:rPr>
        <w:t xml:space="preserve">招标项目信息</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1.项目名称：</w:t>
      </w:r>
      <w:r>
        <w:rPr>
          <w:rFonts w:hint="eastAsia" w:eastAsia="宋体" w:cs="宋体" w:asciiTheme="minorEastAsia" w:hAnsiTheme="minorEastAsia"/>
          <w:color w:val="auto"/>
          <w:sz w:val="24"/>
          <w:szCs w:val="24"/>
          <w:highlight w:val="none"/>
          <w:lang w:eastAsia="zh-CN"/>
        </w:rPr>
        <w:t xml:space="preserve">雪浪交警五中队警用装备、设备采购项目</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2.项目编号：</w:t>
      </w:r>
      <w:r>
        <w:rPr>
          <w:rFonts w:hint="eastAsia" w:eastAsia="宋体" w:cs="宋体" w:asciiTheme="minorEastAsia" w:hAnsiTheme="minorEastAsia"/>
          <w:color w:val="auto"/>
          <w:sz w:val="24"/>
          <w:szCs w:val="24"/>
          <w:highlight w:val="none"/>
          <w:lang w:eastAsia="zh-CN"/>
        </w:rPr>
        <w:t xml:space="preserve">JSZC-320211-SRZJ-G2025-0008</w:t>
      </w:r>
      <w:r>
        <w:rPr>
          <w:rFonts w:hint="eastAsia" w:eastAsia="宋体" w:cs="宋体" w:asciiTheme="minorEastAsia" w:hAnsiTheme="minorEastAsia"/>
          <w:color w:val="auto"/>
          <w:sz w:val="24"/>
          <w:szCs w:val="24"/>
          <w:highlight w:val="none"/>
          <w:lang w:eastAsia="zh-CN"/>
        </w:rPr>
        <w:tab/>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w:t>
      </w:r>
      <w:r>
        <w:rPr>
          <w:rFonts w:cs="宋体" w:asciiTheme="minorEastAsia" w:hAnsiTheme="minorEastAsia"/>
          <w:color w:val="auto"/>
          <w:sz w:val="24"/>
          <w:szCs w:val="24"/>
          <w:highlight w:val="none"/>
        </w:rPr>
        <w:t xml:space="preserve">项目</w:t>
      </w:r>
      <w:r>
        <w:rPr>
          <w:rFonts w:hint="eastAsia" w:cs="宋体" w:asciiTheme="minorEastAsia" w:hAnsiTheme="minorEastAsia"/>
          <w:color w:val="auto"/>
          <w:sz w:val="24"/>
          <w:szCs w:val="24"/>
          <w:highlight w:val="none"/>
        </w:rPr>
        <w:t xml:space="preserve">预算金额：</w:t>
      </w:r>
      <w:r>
        <w:rPr>
          <w:rFonts w:hint="eastAsia" w:eastAsia="宋体" w:cs="宋体" w:asciiTheme="minorEastAsia" w:hAnsiTheme="minorEastAsia"/>
          <w:color w:val="auto"/>
          <w:sz w:val="24"/>
          <w:szCs w:val="24"/>
          <w:highlight w:val="none"/>
          <w:lang w:eastAsia="zh-CN"/>
        </w:rPr>
        <w:t xml:space="preserve">197万元</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4.项目</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rPr>
        <w:t xml:space="preserve">：</w:t>
      </w:r>
      <w:r>
        <w:rPr>
          <w:rFonts w:hint="eastAsia" w:eastAsia="宋体" w:cs="宋体" w:asciiTheme="minorEastAsia" w:hAnsiTheme="minorEastAsia"/>
          <w:color w:val="auto"/>
          <w:sz w:val="24"/>
          <w:szCs w:val="24"/>
          <w:highlight w:val="none"/>
          <w:lang w:val="en-US" w:eastAsia="zh-CN"/>
        </w:rPr>
        <w:t xml:space="preserve">144.1760万元</w:t>
      </w:r>
      <w:r>
        <w:rPr>
          <w:rFonts w:hint="eastAsia" w:eastAsia="宋体" w:cs="宋体" w:asciiTheme="minorEastAsia" w:hAnsiTheme="minorEastAsia"/>
          <w:color w:val="auto"/>
          <w:sz w:val="24"/>
          <w:szCs w:val="24"/>
          <w:highlight w:val="none"/>
          <w:lang w:eastAsia="zh-CN"/>
        </w:rPr>
        <w:t xml:space="preserve">；</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5.采购需求：</w:t>
      </w:r>
      <w:r>
        <w:rPr>
          <w:rFonts w:hint="eastAsia" w:eastAsia="宋体" w:cs="宋体" w:asciiTheme="minorEastAsia" w:hAnsiTheme="minorEastAsia"/>
          <w:color w:val="auto"/>
          <w:sz w:val="24"/>
          <w:szCs w:val="24"/>
          <w:highlight w:val="none"/>
          <w:lang w:eastAsia="zh-CN"/>
        </w:rPr>
        <w:t xml:space="preserve">雪浪交警五中队警用装备、设备采购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具体要求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Theme="minorEastAsia" w:hAnsiTheme="minorEastAsia"/>
          <w:color w:val="auto"/>
          <w:sz w:val="24"/>
          <w:highlight w:val="none"/>
        </w:rPr>
        <w:t xml:space="preserve">；</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w:t>
      </w:r>
      <w:r>
        <w:rPr>
          <w:rFonts w:hint="eastAsia" w:eastAsia="宋体" w:asciiTheme="minorEastAsia" w:hAnsiTheme="minorEastAsia"/>
          <w:color w:val="auto"/>
          <w:sz w:val="24"/>
          <w:szCs w:val="24"/>
          <w:highlight w:val="none"/>
          <w:lang w:eastAsia="zh-CN"/>
        </w:rPr>
        <w:t xml:space="preserve">供货期限：合同签订之日起30</w:t>
      </w:r>
      <w:r>
        <w:rPr>
          <w:rFonts w:hint="eastAsia" w:eastAsia="宋体" w:asciiTheme="minorEastAsia" w:hAnsiTheme="minorEastAsia"/>
          <w:color w:val="auto"/>
          <w:sz w:val="24"/>
          <w:szCs w:val="24"/>
          <w:highlight w:val="none"/>
          <w:lang w:val="en-US" w:eastAsia="zh-CN"/>
        </w:rPr>
        <w:t xml:space="preserve">日历</w:t>
      </w:r>
      <w:r>
        <w:rPr>
          <w:rFonts w:hint="eastAsia" w:eastAsia="宋体" w:asciiTheme="minorEastAsia" w:hAnsiTheme="minorEastAsia"/>
          <w:color w:val="auto"/>
          <w:sz w:val="24"/>
          <w:szCs w:val="24"/>
          <w:highlight w:val="none"/>
          <w:lang w:eastAsia="zh-CN"/>
        </w:rPr>
        <w:t xml:space="preserve">天内</w:t>
      </w:r>
      <w:r>
        <w:rPr>
          <w:rFonts w:hint="eastAsia" w:eastAsia="宋体" w:asciiTheme="minorEastAsia" w:hAnsiTheme="minorEastAsia"/>
          <w:color w:val="auto"/>
          <w:sz w:val="24"/>
          <w:szCs w:val="24"/>
          <w:highlight w:val="none"/>
          <w:lang w:val="en-US" w:eastAsia="zh-CN"/>
        </w:rPr>
        <w:t xml:space="preserve">完成供货安装调试</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7.</w:t>
      </w:r>
      <w:r>
        <w:rPr>
          <w:rFonts w:hint="eastAsia" w:cs="宋体" w:asciiTheme="minorEastAsia" w:hAnsiTheme="minorEastAsia"/>
          <w:color w:val="auto"/>
          <w:sz w:val="24"/>
          <w:szCs w:val="24"/>
          <w:highlight w:val="none"/>
          <w:lang w:val="en-US" w:eastAsia="zh-CN"/>
        </w:rPr>
        <w:t xml:space="preserve">质量标准：符合国家及行业相关标准，满足采购文件及采购人需求</w:t>
      </w:r>
      <w:r>
        <w:rPr>
          <w:rFonts w:hint="eastAsia" w:eastAsia="宋体" w:cs="宋体" w:asciiTheme="minorEastAsia" w:hAnsiTheme="minorEastAsia"/>
          <w:color w:val="auto"/>
          <w:sz w:val="24"/>
          <w:szCs w:val="24"/>
          <w:highlight w:val="none"/>
          <w:lang w:eastAsia="zh-CN"/>
        </w:rPr>
        <w:t xml:space="preserve">；</w:t>
      </w:r>
      <w:r/>
    </w:p>
    <w:p>
      <w:pPr>
        <w:ind w:firstLine="480"/>
        <w:jc w:val="left"/>
        <w:spacing w:line="360" w:lineRule="auto"/>
        <w:shd w:val="clear" w:color="auto" w:fill="ffffff"/>
        <w:widowControl/>
        <w:rPr>
          <w:rFonts w:hint="default"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 xml:space="preserve">8.质保期：2年</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本项目是否专门面向中小微企业：</w:t>
      </w:r>
      <w:r>
        <w:rPr>
          <w:rFonts w:hint="eastAsia" w:eastAsia="宋体" w:cs="宋体" w:asciiTheme="minorEastAsia" w:hAnsiTheme="minorEastAsia"/>
          <w:color w:val="auto"/>
          <w:sz w:val="24"/>
          <w:szCs w:val="24"/>
          <w:highlight w:val="none"/>
          <w:lang w:val="en-US" w:eastAsia="zh-CN"/>
        </w:rPr>
        <w:t xml:space="preserve">否</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.本项目标的所属行业：</w:t>
      </w:r>
      <w:r>
        <w:rPr>
          <w:rFonts w:hint="eastAsia" w:eastAsia="宋体" w:cs="宋体" w:asciiTheme="minorEastAsia" w:hAnsiTheme="minorEastAsia"/>
          <w:color w:val="auto"/>
          <w:sz w:val="24"/>
          <w:szCs w:val="24"/>
          <w:highlight w:val="none"/>
          <w:lang w:eastAsia="zh-CN"/>
        </w:rPr>
        <w:t xml:space="preserve">工业；</w:t>
      </w:r>
      <w:r>
        <w:rPr>
          <w:rFonts w:hint="eastAsia" w:ascii="宋体" w:hAnsi="宋体" w:cs="宋体"/>
          <w:color w:val="auto"/>
          <w:sz w:val="24"/>
          <w:szCs w:val="24"/>
          <w:highlight w:val="none"/>
        </w:rPr>
        <w:t xml:space="preserve">根据《关于印发中小企业划型标准规定的通知》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 xml:space="preserve">联合投标。</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eastAsia="宋体"/>
          <w:color w:val="auto"/>
          <w:sz w:val="24"/>
          <w:szCs w:val="24"/>
          <w:highlight w:val="none"/>
          <w:lang w:val="en-US" w:eastAsia="zh-CN"/>
        </w:rPr>
        <w:t xml:space="preserve">无</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3.本项目的特定资格要求：</w:t>
      </w:r>
      <w:r>
        <w:rPr>
          <w:rFonts w:hint="eastAsia" w:ascii="宋体" w:hAnsi="宋体" w:eastAsia="宋体"/>
          <w:color w:val="auto"/>
          <w:sz w:val="24"/>
          <w:szCs w:val="24"/>
          <w:highlight w:val="none"/>
          <w:lang w:val="en-US" w:eastAsia="zh-CN"/>
        </w:rPr>
        <w:t xml:space="preserve">无</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Style w:val="80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（四）提交投标文件截止时间、开标时间和地点</w:t>
      </w:r>
      <w:r/>
    </w:p>
    <w:p>
      <w:pPr>
        <w:ind w:firstLine="480"/>
        <w:spacing w:line="360" w:lineRule="auto"/>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1.时间：</w:t>
      </w:r>
      <w:r>
        <w:rPr>
          <w:rFonts w:hint="eastAsia" w:ascii="宋体" w:hAnsi="宋体" w:eastAsia="宋体"/>
          <w:b/>
          <w:bCs/>
          <w:color w:val="auto"/>
          <w:sz w:val="24"/>
          <w:szCs w:val="24"/>
          <w:highlight w:val="none"/>
          <w:lang w:eastAsia="zh-CN"/>
        </w:rPr>
        <w:t xml:space="preserve">2025年</w:t>
      </w:r>
      <w:r>
        <w:rPr>
          <w:rFonts w:hint="eastAsia" w:ascii="宋体" w:hAnsi="宋体" w:eastAsia="宋体"/>
          <w:b/>
          <w:bCs/>
          <w:color w:val="auto"/>
          <w:sz w:val="24"/>
          <w:szCs w:val="24"/>
          <w:highlight w:val="none"/>
          <w:lang w:val="en-US" w:eastAsia="zh-CN"/>
        </w:rPr>
        <w:t xml:space="preserve">12</w:t>
      </w:r>
      <w:r>
        <w:rPr>
          <w:rFonts w:hint="eastAsia" w:ascii="宋体" w:hAnsi="宋体" w:eastAsia="宋体"/>
          <w:b/>
          <w:bCs/>
          <w:color w:val="auto"/>
          <w:sz w:val="24"/>
          <w:szCs w:val="24"/>
          <w:highlight w:val="none"/>
          <w:lang w:eastAsia="zh-CN"/>
        </w:rPr>
        <w:t xml:space="preserve">月</w:t>
      </w:r>
      <w:r>
        <w:rPr>
          <w:rFonts w:hint="eastAsia" w:ascii="宋体" w:hAnsi="宋体" w:eastAsia="宋体"/>
          <w:b/>
          <w:bCs/>
          <w:color w:val="auto"/>
          <w:sz w:val="24"/>
          <w:szCs w:val="24"/>
          <w:highlight w:val="none"/>
          <w:lang w:val="en-US" w:eastAsia="zh-CN"/>
        </w:rPr>
        <w:t xml:space="preserve">9</w:t>
      </w:r>
      <w:r>
        <w:rPr>
          <w:rFonts w:hint="eastAsia" w:ascii="宋体" w:hAnsi="宋体" w:eastAsia="宋体"/>
          <w:b/>
          <w:bCs/>
          <w:color w:val="auto"/>
          <w:sz w:val="24"/>
          <w:szCs w:val="24"/>
          <w:highlight w:val="none"/>
          <w:lang w:eastAsia="zh-CN"/>
        </w:rPr>
        <w:t xml:space="preserve">日</w:t>
      </w:r>
      <w:r>
        <w:rPr>
          <w:rFonts w:hint="eastAsia" w:ascii="宋体" w:hAnsi="宋体" w:eastAsia="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0分</w:t>
      </w:r>
      <w:r>
        <w:rPr>
          <w:rFonts w:hint="eastAsia" w:cs="Times New Roman" w:asciiTheme="minorEastAsia" w:hAnsiTheme="minorEastAsia"/>
          <w:bCs/>
          <w:color w:val="auto"/>
          <w:sz w:val="24"/>
          <w:szCs w:val="24"/>
          <w:highlight w:val="none"/>
        </w:rPr>
        <w:t xml:space="preserve">（北京时间），截止时间后上传的任何投标文件恕不接受。</w:t>
      </w:r>
      <w:r/>
    </w:p>
    <w:p>
      <w:pPr>
        <w:ind w:firstLine="480"/>
        <w:spacing w:line="360" w:lineRule="auto"/>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0"/>
        <w:ind w:firstLine="452"/>
        <w:keepLines w:val="0"/>
        <w:keepNext w:val="0"/>
        <w:spacing w:before="0" w:after="0" w:line="360" w:lineRule="auto"/>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52"/>
        <w:jc w:val="both"/>
        <w:keepLines w:val="0"/>
        <w:keepNext w:val="0"/>
        <w:spacing w:before="0" w:after="0" w:line="360" w:lineRule="auto"/>
        <w:widowControl w:val="off"/>
        <w:rPr>
          <w:rFonts w:hint="eastAsia" w:cs="宋体" w:asciiTheme="minorEastAsia" w:hAnsiTheme="minorEastAsia" w:eastAsiaTheme="minorEastAsia"/>
          <w:b/>
          <w:bCs w:val="0"/>
          <w:color w:val="auto"/>
          <w:sz w:val="24"/>
          <w:szCs w:val="24"/>
          <w:highlight w:val="none"/>
          <w:lang w:eastAsia="zh-CN"/>
        </w:rPr>
        <w:outlineLvl w:val="2"/>
      </w:pPr>
      <w:r>
        <w:rPr>
          <w:rFonts w:hint="eastAsia" w:cs="宋体" w:asciiTheme="minorEastAsia" w:hAnsiTheme="minorEastAsia" w:eastAsiaTheme="minorEastAsia"/>
          <w:b/>
          <w:bCs w:val="0"/>
          <w:color w:val="auto"/>
          <w:sz w:val="24"/>
          <w:szCs w:val="24"/>
          <w:highlight w:val="none"/>
          <w:lang w:eastAsia="zh-CN"/>
        </w:rPr>
        <w:t xml:space="preserve">（</w:t>
      </w:r>
      <w:r>
        <w:rPr>
          <w:rFonts w:hint="eastAsia" w:cs="宋体" w:asciiTheme="minorEastAsia" w:hAnsiTheme="minorEastAsia" w:eastAsiaTheme="minorEastAsia"/>
          <w:b/>
          <w:bCs w:val="0"/>
          <w:color w:val="auto"/>
          <w:sz w:val="24"/>
          <w:szCs w:val="24"/>
          <w:highlight w:val="none"/>
          <w:lang w:val="en-US" w:eastAsia="zh-CN"/>
        </w:rPr>
        <w:t xml:space="preserve">六</w:t>
      </w:r>
      <w:r>
        <w:rPr>
          <w:rFonts w:hint="eastAsia" w:cs="宋体" w:asciiTheme="minorEastAsia" w:hAnsiTheme="minorEastAsia" w:eastAsiaTheme="minorEastAsia"/>
          <w:b/>
          <w:bCs w:val="0"/>
          <w:color w:val="auto"/>
          <w:sz w:val="24"/>
          <w:szCs w:val="24"/>
          <w:highlight w:val="none"/>
          <w:lang w:eastAsia="zh-CN"/>
        </w:rPr>
        <w:t xml:space="preserve">）其他补充事宜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 xml:space="preserve">（七）</w:t>
      </w:r>
      <w:r>
        <w:rPr>
          <w:rFonts w:hint="eastAsia" w:asciiTheme="minorEastAsia" w:hAnsiTheme="minorEastAsia"/>
          <w:b/>
          <w:bCs/>
          <w:color w:val="auto"/>
          <w:sz w:val="24"/>
          <w:szCs w:val="24"/>
          <w:highlight w:val="none"/>
        </w:rPr>
        <w:t xml:space="preserve">本次招标联系方式</w:t>
      </w:r>
      <w:r/>
    </w:p>
    <w:p>
      <w:pPr>
        <w:ind w:firstLine="480"/>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w:t>
      </w:r>
      <w:r>
        <w:rPr>
          <w:rFonts w:hint="eastAsia" w:eastAsia="宋体" w:cs="宋体" w:asciiTheme="minorEastAsia" w:hAnsiTheme="minorEastAsia"/>
          <w:color w:val="auto"/>
          <w:sz w:val="24"/>
          <w:szCs w:val="24"/>
          <w:highlight w:val="none"/>
          <w:lang w:eastAsia="zh-CN"/>
        </w:rPr>
        <w:t xml:space="preserve">采购代理机构</w:t>
      </w:r>
      <w:r>
        <w:rPr>
          <w:rFonts w:hint="eastAsia" w:cs="宋体" w:asciiTheme="minorEastAsia" w:hAnsiTheme="minorEastAsia"/>
          <w:color w:val="auto"/>
          <w:sz w:val="24"/>
          <w:szCs w:val="24"/>
          <w:highlight w:val="none"/>
        </w:rPr>
        <w:t xml:space="preserve">：</w:t>
      </w:r>
      <w:r/>
    </w:p>
    <w:p>
      <w:pPr>
        <w:ind w:firstLine="480"/>
        <w:spacing w:line="360" w:lineRule="auto"/>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lang w:eastAsia="zh-CN"/>
        </w:rPr>
        <w:t xml:space="preserve">江苏融智建工程咨询有限公司</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项目联系人</w:t>
      </w:r>
      <w:r>
        <w:rPr>
          <w:rFonts w:hint="eastAsia" w:eastAsia="宋体" w:cs="宋体" w:asciiTheme="minorEastAsia" w:hAnsiTheme="minorEastAsia"/>
          <w:color w:val="auto"/>
          <w:sz w:val="24"/>
          <w:szCs w:val="24"/>
          <w:highlight w:val="none"/>
          <w:lang w:eastAsia="zh-CN"/>
        </w:rPr>
        <w:t xml:space="preserve">：蒋</w:t>
      </w:r>
      <w:r>
        <w:rPr>
          <w:rFonts w:hint="eastAsia" w:eastAsia="宋体" w:cs="宋体" w:asciiTheme="minorEastAsia" w:hAnsiTheme="minorEastAsia"/>
          <w:color w:val="auto"/>
          <w:sz w:val="24"/>
          <w:szCs w:val="24"/>
          <w:highlight w:val="none"/>
          <w:lang w:val="en-US" w:eastAsia="zh-CN"/>
        </w:rPr>
        <w:t xml:space="preserve">玮婷、王怡雯</w:t>
      </w:r>
      <w:r>
        <w:rPr>
          <w:rFonts w:hint="eastAsia" w:cs="宋体" w:asciiTheme="minorEastAsia" w:hAnsiTheme="minorEastAsia"/>
          <w:color w:val="auto"/>
          <w:sz w:val="24"/>
          <w:szCs w:val="24"/>
          <w:highlight w:val="none"/>
        </w:rPr>
        <w:t xml:space="preserve"> </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电话：</w:t>
      </w:r>
      <w:r>
        <w:rPr>
          <w:rFonts w:hint="eastAsia" w:eastAsia="宋体" w:cs="宋体" w:asciiTheme="minorEastAsia" w:hAnsiTheme="minorEastAsia"/>
          <w:color w:val="auto"/>
          <w:sz w:val="24"/>
          <w:szCs w:val="24"/>
          <w:highlight w:val="none"/>
          <w:lang w:eastAsia="zh-CN"/>
        </w:rPr>
        <w:t xml:space="preserve">17798755262、</w:t>
      </w:r>
      <w:r>
        <w:rPr>
          <w:rFonts w:hint="eastAsia" w:eastAsia="宋体" w:cs="宋体" w:asciiTheme="minorEastAsia" w:hAnsiTheme="minorEastAsia"/>
          <w:color w:val="auto"/>
          <w:sz w:val="24"/>
          <w:szCs w:val="24"/>
          <w:highlight w:val="none"/>
          <w:lang w:val="en-US" w:eastAsia="zh-CN"/>
        </w:rPr>
        <w:t xml:space="preserve">13327929059</w:t>
      </w:r>
      <w:r>
        <w:rPr>
          <w:rFonts w:hint="eastAsia" w:cs="宋体" w:asciiTheme="minorEastAsia" w:hAnsiTheme="minorEastAsia"/>
          <w:color w:val="auto"/>
          <w:sz w:val="24"/>
          <w:szCs w:val="24"/>
          <w:highlight w:val="none"/>
        </w:rPr>
        <w:t xml:space="preserve">              </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地址</w:t>
      </w:r>
      <w:r>
        <w:rPr>
          <w:rFonts w:hint="eastAsia" w:eastAsia="宋体"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 </w:t>
      </w:r>
      <w:r>
        <w:rPr>
          <w:rFonts w:hint="eastAsia" w:eastAsia="宋体" w:cs="宋体" w:asciiTheme="minorEastAsia" w:hAnsiTheme="minorEastAsia"/>
          <w:color w:val="auto"/>
          <w:sz w:val="24"/>
          <w:szCs w:val="24"/>
          <w:highlight w:val="none"/>
          <w:lang w:eastAsia="zh-CN"/>
        </w:rPr>
        <w:t xml:space="preserve">无锡市滨湖区绣溪路58号（恒华科技园）20号楼610</w:t>
      </w:r>
      <w:r>
        <w:rPr>
          <w:rFonts w:hint="eastAsia" w:cs="宋体" w:asciiTheme="minorEastAsia" w:hAnsiTheme="minorEastAsia"/>
          <w:color w:val="auto"/>
          <w:sz w:val="24"/>
          <w:szCs w:val="24"/>
          <w:highlight w:val="none"/>
        </w:rPr>
        <w:t xml:space="preserve">    </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邮箱：</w:t>
      </w:r>
      <w:r>
        <w:rPr>
          <w:rFonts w:hint="eastAsia" w:eastAsia="宋体" w:cs="宋体" w:asciiTheme="minorEastAsia" w:hAnsiTheme="minorEastAsia"/>
          <w:color w:val="auto"/>
          <w:sz w:val="24"/>
          <w:szCs w:val="24"/>
          <w:highlight w:val="none"/>
          <w:lang w:eastAsia="zh-CN"/>
        </w:rPr>
        <w:t xml:space="preserve">jsrzj2020@163.com</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2.采购人：</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lang w:eastAsia="zh-CN"/>
        </w:rPr>
        <w:t xml:space="preserve">无锡市滨湖区雪浪街道办事处</w:t>
      </w:r>
      <w:r/>
    </w:p>
    <w:p>
      <w:pPr>
        <w:ind w:firstLine="480"/>
        <w:jc w:val="left"/>
        <w:spacing w:line="360" w:lineRule="auto"/>
        <w:shd w:val="clear" w:color="auto" w:fill="ffffff"/>
        <w:widowControl/>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联系人：叶子昊</w:t>
      </w:r>
      <w:r>
        <w:rPr>
          <w:rFonts w:hint="eastAsia" w:cs="宋体" w:asciiTheme="minorEastAsia" w:hAnsiTheme="minorEastAsia"/>
          <w:color w:val="auto"/>
          <w:sz w:val="24"/>
          <w:szCs w:val="24"/>
          <w:highlight w:val="none"/>
          <w:lang w:val="en-US" w:eastAsia="zh-CN"/>
        </w:rPr>
        <w:t xml:space="preserve"> </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联系电话：</w:t>
      </w:r>
      <w:r>
        <w:rPr>
          <w:rFonts w:hint="eastAsia" w:eastAsia="宋体" w:cs="宋体" w:asciiTheme="minorEastAsia" w:hAnsiTheme="minorEastAsia"/>
          <w:color w:val="auto"/>
          <w:sz w:val="24"/>
          <w:szCs w:val="24"/>
          <w:highlight w:val="none"/>
          <w:lang w:val="en-US" w:eastAsia="zh-CN"/>
        </w:rPr>
        <w:t xml:space="preserve">0510-</w:t>
      </w:r>
      <w:r>
        <w:rPr>
          <w:rFonts w:hint="eastAsia" w:cs="宋体" w:asciiTheme="minorEastAsia" w:hAnsiTheme="minorEastAsia"/>
          <w:color w:val="auto"/>
          <w:sz w:val="24"/>
          <w:szCs w:val="24"/>
          <w:highlight w:val="none"/>
        </w:rPr>
        <w:t xml:space="preserve">85950265</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联系地址：</w:t>
      </w:r>
      <w:r>
        <w:rPr>
          <w:rFonts w:hint="eastAsia" w:cs="宋体" w:asciiTheme="minorEastAsia" w:hAnsiTheme="minorEastAsia"/>
          <w:color w:val="auto"/>
          <w:sz w:val="24"/>
          <w:szCs w:val="24"/>
          <w:highlight w:val="none"/>
          <w:lang w:val="en-US" w:eastAsia="zh-CN"/>
        </w:rPr>
        <w:t xml:space="preserve">江苏省无锡市滨湖区锦溪路100号</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lang w:eastAsia="zh-CN"/>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lang w:eastAsia="zh-CN"/>
        </w:rPr>
        <w:t xml:space="preserve">江苏融智建工程咨询有限公司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（五）其他事项</w:t>
      </w:r>
      <w:r/>
    </w:p>
    <w:p>
      <w:pPr>
        <w:ind w:firstLine="720"/>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1）纸质投标文件：本项目为不见面开标，</w:t>
      </w:r>
      <w:r>
        <w:rPr>
          <w:rFonts w:hint="eastAsia" w:eastAsia="宋体" w:cs="Times New Roman" w:asciiTheme="minorEastAsia" w:hAnsiTheme="minorEastAsia"/>
          <w:color w:val="auto"/>
          <w:sz w:val="24"/>
          <w:szCs w:val="24"/>
          <w:highlight w:val="none"/>
          <w:lang w:val="en-US" w:eastAsia="zh-CN"/>
        </w:rPr>
        <w:t xml:space="preserve">投标</w:t>
      </w:r>
      <w:r>
        <w:rPr>
          <w:rFonts w:hint="eastAsia" w:cs="Times New Roman" w:asciiTheme="minorEastAsia" w:hAnsiTheme="minorEastAsia"/>
          <w:color w:val="auto"/>
          <w:sz w:val="24"/>
          <w:szCs w:val="24"/>
          <w:highlight w:val="none"/>
        </w:rPr>
        <w:t xml:space="preserve">人无需递交纸质投标文件至现场，</w:t>
      </w:r>
      <w:r>
        <w:rPr>
          <w:rFonts w:hint="eastAsia" w:cs="Times New Roman" w:asciiTheme="minorEastAsia" w:hAnsiTheme="minorEastAsia"/>
          <w:b/>
          <w:color w:val="auto"/>
          <w:sz w:val="24"/>
          <w:szCs w:val="24"/>
          <w:highlight w:val="none"/>
        </w:rPr>
        <w:t xml:space="preserve">中标后中标供应商向</w:t>
      </w:r>
      <w:r>
        <w:rPr>
          <w:rFonts w:hint="eastAsia" w:eastAsia="宋体" w:cs="Times New Roman" w:asciiTheme="minorEastAsia" w:hAnsiTheme="minorEastAsia"/>
          <w:b/>
          <w:color w:val="auto"/>
          <w:sz w:val="24"/>
          <w:szCs w:val="24"/>
          <w:highlight w:val="none"/>
          <w:lang w:eastAsia="zh-CN"/>
        </w:rPr>
        <w:t xml:space="preserve">采购代理机构</w:t>
      </w:r>
      <w:r>
        <w:rPr>
          <w:rFonts w:hint="eastAsia" w:cs="Times New Roman" w:asciiTheme="minorEastAsia" w:hAnsiTheme="minorEastAsia"/>
          <w:b/>
          <w:color w:val="auto"/>
          <w:sz w:val="24"/>
          <w:szCs w:val="24"/>
          <w:highlight w:val="none"/>
        </w:rPr>
        <w:t xml:space="preserve">提供与电子投标文件完全一致的纸质投标文件（2份：一正、一副）。</w:t>
      </w:r>
      <w:r/>
    </w:p>
    <w:p>
      <w:pPr>
        <w:ind w:firstLine="720"/>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2）供应商请仔细阅读供应商注册流程和招标文件中关于电子开评标等相关事项，如有问题可发送邮件或电话咨询。</w:t>
      </w:r>
      <w:bookmarkStart w:id="1" w:name="_Toc120614211"/>
      <w:r/>
      <w:r/>
    </w:p>
    <w:p>
      <w:pPr>
        <w:jc w:val="center"/>
        <w:spacing w:line="360" w:lineRule="auto"/>
        <w:widowControl/>
        <w:rPr>
          <w:rFonts w:ascii="黑体" w:hAnsi="黑体" w:eastAsia="黑体"/>
          <w:color w:val="auto"/>
          <w:sz w:val="36"/>
          <w:szCs w:val="36"/>
          <w:highlight w:val="none"/>
        </w:rPr>
      </w:pPr>
      <w:r>
        <w:rPr>
          <w:rFonts w:ascii="黑体" w:hAnsi="黑体" w:eastAsia="黑体"/>
          <w:color w:val="auto"/>
          <w:sz w:val="36"/>
          <w:szCs w:val="36"/>
          <w:highlight w:val="none"/>
        </w:rPr>
      </w:r>
      <w:r/>
    </w:p>
    <w:p>
      <w:pPr>
        <w:jc w:val="left"/>
        <w:spacing w:line="360" w:lineRule="auto"/>
        <w:widowControl/>
        <w:rPr>
          <w:rFonts w:ascii="黑体" w:hAnsi="黑体" w:eastAsia="黑体"/>
          <w:color w:val="auto"/>
          <w:sz w:val="36"/>
          <w:szCs w:val="36"/>
          <w:highlight w:val="none"/>
        </w:rPr>
      </w:pPr>
      <w:r>
        <w:rPr>
          <w:rFonts w:ascii="黑体" w:hAnsi="黑体" w:eastAsia="黑体"/>
          <w:color w:val="auto"/>
          <w:sz w:val="36"/>
          <w:szCs w:val="36"/>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6938518"/>
      <w:r/>
      <w:bookmarkStart w:id="3" w:name="_Toc120614213"/>
      <w:r/>
      <w:bookmarkStart w:id="4" w:name="_Toc513029202"/>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890"/>
        <w:ind w:firstLine="452"/>
        <w:keepLines w:val="0"/>
        <w:keepNext w:val="0"/>
        <w:spacing w:before="0" w:after="0" w:line="360" w:lineRule="auto"/>
        <w:rPr>
          <w:color w:val="auto"/>
          <w:sz w:val="30"/>
          <w:szCs w:val="30"/>
          <w:highlight w:val="none"/>
          <w:lang w:eastAsia="zh-CN"/>
        </w:rPr>
      </w:pPr>
      <w:r/>
      <w:bookmarkStart w:id="6" w:name="_Toc16938519"/>
      <w:r/>
      <w:bookmarkStart w:id="7" w:name="_Toc120614214"/>
      <w:r/>
      <w:bookmarkStart w:id="8" w:name="_Toc513029203"/>
      <w:r/>
      <w:bookmarkStart w:id="9" w:name="_Toc20823275"/>
      <w:r>
        <w:rPr>
          <w:rFonts w:hint="eastAsia"/>
          <w:color w:val="auto"/>
          <w:sz w:val="30"/>
          <w:szCs w:val="30"/>
          <w:highlight w:val="none"/>
          <w:lang w:eastAsia="zh-CN"/>
        </w:rPr>
        <w:t xml:space="preserve">一、总则</w:t>
      </w:r>
      <w:bookmarkEnd w:id="6"/>
      <w:r/>
      <w:bookmarkEnd w:id="7"/>
      <w:r/>
      <w:bookmarkEnd w:id="8"/>
      <w:r/>
      <w:bookmarkEnd w:id="9"/>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4" w:name="_Toc513029205"/>
      <w:r/>
      <w:bookmarkStart w:id="15" w:name="_Toc20823277"/>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20823278"/>
      <w:r/>
      <w:bookmarkStart w:id="19" w:name="_Toc16938522"/>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20" w:name="_Toc513029207"/>
      <w:r/>
      <w:bookmarkStart w:id="21" w:name="_Toc16938523"/>
      <w:r/>
      <w:bookmarkStart w:id="22" w:name="_Toc20823279"/>
      <w:r/>
      <w:bookmarkStart w:id="23" w:name="_Toc46256406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lang w:eastAsia="zh-CN"/>
        </w:rPr>
        <w:t xml:space="preserve">江苏融智建工程咨询有限公司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color w:val="auto"/>
          <w:sz w:val="24"/>
          <w:highlight w:val="none"/>
          <w:u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u w:val="none"/>
          <w:lang w:val="en-US" w:eastAsia="zh-CN"/>
        </w:rPr>
        <w:t xml:space="preserve">中标人</w:t>
      </w:r>
      <w:r>
        <w:rPr>
          <w:rFonts w:hint="eastAsia" w:ascii="宋体" w:hAnsi="宋体"/>
          <w:color w:val="auto"/>
          <w:sz w:val="24"/>
          <w:highlight w:val="none"/>
          <w:u w:val="none"/>
        </w:rPr>
        <w:t xml:space="preserve">支付，</w:t>
      </w:r>
      <w:r>
        <w:rPr>
          <w:rFonts w:hint="eastAsia" w:ascii="宋体" w:hAnsi="宋体"/>
          <w:color w:val="auto"/>
          <w:sz w:val="24"/>
          <w:szCs w:val="24"/>
          <w:highlight w:val="none"/>
          <w:u w:val="none"/>
        </w:rPr>
        <w:t xml:space="preserve">本项目代理服务费以中标金额为计费基础</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rPr>
        <w:t xml:space="preserve">按差额定率累进法计算，100万以下费率为1.5%，100万</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u w:val="none"/>
        </w:rPr>
        <w:t xml:space="preserve">500万费率为</w:t>
      </w:r>
      <w:r>
        <w:rPr>
          <w:rFonts w:hint="eastAsia" w:ascii="宋体" w:hAnsi="宋体" w:eastAsia="宋体"/>
          <w:color w:val="auto"/>
          <w:sz w:val="24"/>
          <w:szCs w:val="24"/>
          <w:highlight w:val="none"/>
          <w:u w:val="none"/>
          <w:lang w:val="en-US" w:eastAsia="zh-CN"/>
        </w:rPr>
        <w:t xml:space="preserve">1.1</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按上述收费费率的八折计取</w:t>
      </w:r>
      <w:r>
        <w:rPr>
          <w:rFonts w:hint="eastAsia" w:ascii="宋体" w:hAnsi="宋体"/>
          <w:color w:val="auto"/>
          <w:sz w:val="24"/>
          <w:highlight w:val="none"/>
          <w:u w:val="none"/>
        </w:rPr>
        <w:t xml:space="preserve">。</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0"/>
        <w:ind w:firstLine="452"/>
        <w:keepLines w:val="0"/>
        <w:keepNext w:val="0"/>
        <w:spacing w:before="0" w:after="0" w:line="360" w:lineRule="auto"/>
        <w:rPr>
          <w:color w:val="auto"/>
          <w:sz w:val="30"/>
          <w:szCs w:val="30"/>
          <w:highlight w:val="none"/>
          <w:lang w:eastAsia="zh-CN"/>
        </w:rPr>
      </w:pPr>
      <w:r/>
      <w:bookmarkStart w:id="24" w:name="_Toc120614215"/>
      <w:r/>
      <w:bookmarkStart w:id="25" w:name="_Toc20823281"/>
      <w:r/>
      <w:bookmarkStart w:id="26" w:name="_Toc16938525"/>
      <w:r/>
      <w:bookmarkStart w:id="27" w:name="_Toc513029209"/>
      <w:r>
        <w:rPr>
          <w:rFonts w:hint="eastAsia"/>
          <w:color w:val="auto"/>
          <w:sz w:val="30"/>
          <w:szCs w:val="30"/>
          <w:highlight w:val="none"/>
          <w:lang w:eastAsia="zh-CN"/>
        </w:rPr>
        <w:t xml:space="preserve">二、招标文件</w:t>
      </w:r>
      <w:bookmarkEnd w:id="24"/>
      <w:r/>
      <w:bookmarkEnd w:id="25"/>
      <w:r/>
      <w:bookmarkEnd w:id="26"/>
      <w:r/>
      <w:bookmarkEnd w:id="27"/>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28" w:name="_Toc20823282"/>
      <w:r/>
      <w:bookmarkStart w:id="29" w:name="_Toc16938526"/>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lang w:eastAsia="zh-CN"/>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31" w:name="_Toc513029211"/>
      <w:r/>
      <w:bookmarkStart w:id="32" w:name="_Toc16938527"/>
      <w:r/>
      <w:bookmarkStart w:id="33" w:name="_Toc20823283"/>
      <w:r/>
      <w:bookmarkStart w:id="34" w:name="_Toc462564070"/>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以书面形式提出。</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35" w:name="_Toc462564071"/>
      <w:r/>
      <w:bookmarkStart w:id="36" w:name="_Toc513029212"/>
      <w:r/>
      <w:bookmarkStart w:id="37" w:name="_Toc16938528"/>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0"/>
        <w:ind w:firstLine="452"/>
        <w:keepLines w:val="0"/>
        <w:keepNext w:val="0"/>
        <w:spacing w:before="0" w:after="0" w:line="360" w:lineRule="auto"/>
        <w:rPr>
          <w:color w:val="auto"/>
          <w:sz w:val="30"/>
          <w:szCs w:val="30"/>
          <w:highlight w:val="none"/>
          <w:lang w:eastAsia="zh-CN"/>
        </w:rPr>
      </w:pPr>
      <w:r/>
      <w:bookmarkStart w:id="39" w:name="_Toc20823285"/>
      <w:r/>
      <w:bookmarkStart w:id="40" w:name="_Toc462564072"/>
      <w:r/>
      <w:bookmarkStart w:id="41" w:name="_Toc120614216"/>
      <w:r/>
      <w:bookmarkStart w:id="42" w:name="_Toc16938529"/>
      <w:r/>
      <w:bookmarkStart w:id="43" w:name="_Toc513029213"/>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44" w:name="_Toc462564073"/>
      <w:r/>
      <w:bookmarkStart w:id="45" w:name="_Toc513029214"/>
      <w:r/>
      <w:bookmarkStart w:id="46" w:name="_Toc20823286"/>
      <w:r/>
      <w:bookmarkStart w:id="47" w:name="_Toc16938530"/>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lang w:eastAsia="zh-CN"/>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w:t>
      </w:r>
      <w:r>
        <w:rPr>
          <w:rFonts w:hint="eastAsia" w:ascii="宋体" w:hAnsi="宋体" w:eastAsia="宋体"/>
          <w:bCs/>
          <w:color w:val="auto"/>
          <w:sz w:val="24"/>
          <w:szCs w:val="24"/>
          <w:highlight w:val="none"/>
          <w:lang w:eastAsia="zh-CN"/>
        </w:rPr>
        <w:t xml:space="preserve">除外</w:t>
      </w:r>
      <w:r>
        <w:rPr>
          <w:rFonts w:hint="eastAsia" w:ascii="宋体" w:hAnsi="宋体"/>
          <w:bCs/>
          <w:color w:val="auto"/>
          <w:sz w:val="24"/>
          <w:szCs w:val="24"/>
          <w:highlight w:val="none"/>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48" w:name="_Toc462564074"/>
      <w:r/>
      <w:bookmarkStart w:id="49" w:name="_Toc20823287"/>
      <w:r/>
      <w:bookmarkStart w:id="50" w:name="_Toc513029215"/>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52" w:name="_Hlt26954838"/>
      <w:r/>
      <w:bookmarkEnd w:id="52"/>
      <w:r/>
      <w:bookmarkStart w:id="53" w:name="_Hlt26668975"/>
      <w:r/>
      <w:bookmarkEnd w:id="53"/>
      <w:r/>
      <w:bookmarkStart w:id="54" w:name="_Hlt26670360"/>
      <w:r/>
      <w:bookmarkEnd w:id="54"/>
      <w:r/>
      <w:bookmarkStart w:id="55" w:name="_Toc14577357"/>
      <w:r/>
      <w:bookmarkStart w:id="56" w:name="_Toc49090509"/>
      <w:r/>
      <w:bookmarkStart w:id="57" w:name="_Toc513029219"/>
      <w:r/>
      <w:bookmarkStart w:id="58" w:name="_Toc49090507"/>
      <w:r/>
      <w:bookmarkStart w:id="59" w:name="_Toc513029216"/>
      <w:r/>
      <w:bookmarkStart w:id="60" w:name="_Toc14577354"/>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lang w:eastAsia="zh-CN"/>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67" w:name="_Hlt26954844"/>
      <w:r/>
      <w:bookmarkEnd w:id="67"/>
      <w:r/>
      <w:bookmarkStart w:id="68" w:name="_Hlt26954731"/>
      <w:r/>
      <w:bookmarkEnd w:id="68"/>
      <w:r/>
      <w:bookmarkStart w:id="69" w:name="_Hlt26670425"/>
      <w:r/>
      <w:bookmarkEnd w:id="69"/>
      <w:r/>
      <w:bookmarkStart w:id="70" w:name="_Hlt26954846"/>
      <w:r/>
      <w:bookmarkEnd w:id="70"/>
      <w:r/>
      <w:bookmarkStart w:id="71" w:name="_Hlt26954848"/>
      <w:r/>
      <w:bookmarkEnd w:id="71"/>
      <w:r/>
      <w:bookmarkStart w:id="72" w:name="_Hlt26670482"/>
      <w:r/>
      <w:bookmarkEnd w:id="72"/>
      <w:r/>
      <w:bookmarkStart w:id="73" w:name="_Hlt26954842"/>
      <w:r/>
      <w:bookmarkEnd w:id="73"/>
      <w:r/>
      <w:bookmarkStart w:id="74" w:name="_Hlt26670403"/>
      <w:r/>
      <w:bookmarkEnd w:id="74"/>
      <w:r/>
      <w:bookmarkStart w:id="75" w:name="_Hlt26668983"/>
      <w:r/>
      <w:bookmarkEnd w:id="75"/>
      <w:r/>
      <w:bookmarkStart w:id="76" w:name="_Hlt2667048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77" w:name="_Hlt26954734"/>
      <w:r/>
      <w:bookmarkEnd w:id="77"/>
      <w:r/>
      <w:bookmarkStart w:id="78" w:name="_Hlt26954850"/>
      <w:r/>
      <w:bookmarkEnd w:id="78"/>
      <w:r/>
      <w:bookmarkStart w:id="79" w:name="_Hlt26670489"/>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0"/>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513029224"/>
      <w:r/>
      <w:bookmarkStart w:id="85" w:name="_Toc120614217"/>
      <w:r/>
      <w:bookmarkStart w:id="86" w:name="_Toc16938540"/>
      <w:r/>
      <w:bookmarkStart w:id="87" w:name="_Toc20823296"/>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88" w:name="_Toc20823297"/>
      <w:r/>
      <w:bookmarkStart w:id="89" w:name="_Toc513029225"/>
      <w:r/>
      <w:bookmarkStart w:id="90" w:name="_Toc462564084"/>
      <w:r/>
      <w:bookmarkStart w:id="91" w:name="_Toc16938541"/>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52"/>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16938542"/>
      <w:r/>
      <w:bookmarkStart w:id="93" w:name="_Toc20823298"/>
      <w:r/>
      <w:bookmarkStart w:id="94" w:name="_Toc513029226"/>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95" w:name="_Toc513029227"/>
      <w:r/>
      <w:bookmarkStart w:id="96" w:name="_Toc20823299"/>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16938544"/>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eastAsia="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0"/>
        <w:ind w:firstLine="452"/>
        <w:keepLines w:val="0"/>
        <w:keepNext w:val="0"/>
        <w:spacing w:before="0" w:after="0" w:line="360" w:lineRule="auto"/>
        <w:rPr>
          <w:color w:val="auto"/>
          <w:sz w:val="30"/>
          <w:szCs w:val="30"/>
          <w:highlight w:val="none"/>
          <w:lang w:eastAsia="zh-CN"/>
        </w:rPr>
      </w:pPr>
      <w:r/>
      <w:bookmarkStart w:id="101" w:name="_Toc16938545"/>
      <w:r/>
      <w:bookmarkStart w:id="102" w:name="_Toc120614218"/>
      <w:r/>
      <w:bookmarkStart w:id="103" w:name="_Toc513029229"/>
      <w:r/>
      <w:bookmarkStart w:id="104" w:name="_Toc20823301"/>
      <w:r>
        <w:rPr>
          <w:rFonts w:hint="eastAsia"/>
          <w:color w:val="auto"/>
          <w:sz w:val="30"/>
          <w:szCs w:val="30"/>
          <w:highlight w:val="none"/>
          <w:lang w:eastAsia="zh-CN"/>
        </w:rPr>
        <w:t xml:space="preserve">五、开标与评标</w:t>
      </w:r>
      <w:bookmarkEnd w:id="101"/>
      <w:r/>
      <w:bookmarkEnd w:id="102"/>
      <w:r/>
      <w:bookmarkEnd w:id="103"/>
      <w:r/>
      <w:bookmarkEnd w:id="104"/>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05" w:name="_Toc16938546"/>
      <w:r/>
      <w:bookmarkStart w:id="106" w:name="_Toc513029230"/>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lang w:eastAsia="zh-CN"/>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lang w:eastAsia="zh-CN"/>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513029231"/>
      <w:r/>
      <w:bookmarkStart w:id="110" w:name="_Toc20823303"/>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lang w:eastAsia="zh-CN"/>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11" w:name="_Toc513029232"/>
      <w:r/>
      <w:bookmarkStart w:id="112" w:name="_Toc20823304"/>
      <w:r/>
      <w:bookmarkStart w:id="113" w:name="_Toc16938548"/>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澄清、说明和补正，其风险由投标人自行承担。</w:t>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14" w:name="_Toc16938549"/>
      <w:r/>
      <w:bookmarkStart w:id="115" w:name="_Toc20823305"/>
      <w:r/>
      <w:bookmarkStart w:id="116" w:name="_Toc513029233"/>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right="188" w:firstLine="481"/>
        <w:jc w:val="left"/>
        <w:spacing w:before="41" w:line="314"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25.1.3强化政府采购异常低价审查 </w:t>
      </w:r>
      <w:r/>
    </w:p>
    <w:p>
      <w:pPr>
        <w:ind w:right="188" w:firstLine="481"/>
        <w:jc w:val="left"/>
        <w:spacing w:before="41" w:line="314"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（一）评审过程中出现下列情形之一的，评审委员会应当启动异常低价投标审查程序： </w:t>
      </w:r>
      <w:r/>
    </w:p>
    <w:p>
      <w:pPr>
        <w:ind w:right="188" w:firstLine="481"/>
        <w:jc w:val="left"/>
        <w:spacing w:before="41" w:line="314"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default" w:ascii="宋体" w:hAnsi="宋体" w:eastAsia="宋体" w:cs="宋体"/>
          <w:b w:val="0"/>
          <w:bCs w:val="0"/>
          <w:color w:val="auto"/>
          <w:sz w:val="24"/>
          <w:szCs w:val="24"/>
          <w:highlight w:val="none"/>
          <w:lang w:val="en-US" w:eastAsia="zh-CN" w:bidi="ar-SA"/>
        </w:rPr>
        <w:t xml:space="preserve">投标报价低于采购项目预算50%的，即投标报价</w:t>
      </w:r>
      <w:r>
        <w:rPr>
          <w:rFonts w:hint="eastAsia" w:ascii="宋体" w:hAnsi="宋体"/>
          <w:bCs/>
          <w:color w:val="auto"/>
          <w:sz w:val="24"/>
          <w:highlight w:val="none"/>
          <w:lang w:val="en-US" w:eastAsia="zh-CN"/>
        </w:rPr>
        <w:t xml:space="preserve">＜</w:t>
      </w:r>
      <w:r>
        <w:rPr>
          <w:rFonts w:hint="default" w:ascii="宋体" w:hAnsi="宋体" w:eastAsia="宋体" w:cs="宋体"/>
          <w:b w:val="0"/>
          <w:bCs w:val="0"/>
          <w:color w:val="auto"/>
          <w:sz w:val="24"/>
          <w:szCs w:val="24"/>
          <w:highlight w:val="none"/>
          <w:lang w:val="en-US" w:eastAsia="zh-CN" w:bidi="ar-SA"/>
        </w:rPr>
        <w:t xml:space="preserve">采购项目预算×50%； </w:t>
      </w:r>
      <w:r/>
    </w:p>
    <w:p>
      <w:pPr>
        <w:ind w:right="188" w:firstLine="481"/>
        <w:jc w:val="left"/>
        <w:spacing w:before="41" w:line="314"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default" w:ascii="宋体" w:hAnsi="宋体" w:eastAsia="宋体" w:cs="宋体"/>
          <w:b w:val="0"/>
          <w:bCs w:val="0"/>
          <w:color w:val="auto"/>
          <w:sz w:val="24"/>
          <w:szCs w:val="24"/>
          <w:highlight w:val="none"/>
          <w:lang w:val="en-US" w:eastAsia="zh-CN" w:bidi="ar-SA"/>
        </w:rPr>
        <w:t xml:space="preserve">投标报价低于采购项目最高限价45%的，即投标报价</w:t>
      </w:r>
      <w:r>
        <w:rPr>
          <w:rFonts w:hint="eastAsia" w:ascii="宋体" w:hAnsi="宋体"/>
          <w:bCs/>
          <w:color w:val="auto"/>
          <w:sz w:val="24"/>
          <w:highlight w:val="none"/>
          <w:lang w:val="en-US" w:eastAsia="zh-CN"/>
        </w:rPr>
        <w:t xml:space="preserve">＜</w:t>
      </w:r>
      <w:r>
        <w:rPr>
          <w:rFonts w:hint="default" w:ascii="宋体" w:hAnsi="宋体" w:eastAsia="宋体" w:cs="宋体"/>
          <w:b w:val="0"/>
          <w:bCs w:val="0"/>
          <w:color w:val="auto"/>
          <w:sz w:val="24"/>
          <w:szCs w:val="24"/>
          <w:highlight w:val="none"/>
          <w:lang w:val="en-US" w:eastAsia="zh-CN" w:bidi="ar-SA"/>
        </w:rPr>
        <w:t xml:space="preserve">采购项目最高限价×45%； </w:t>
      </w:r>
      <w:r/>
    </w:p>
    <w:p>
      <w:pPr>
        <w:ind w:right="188" w:firstLine="481"/>
        <w:jc w:val="left"/>
        <w:spacing w:before="41" w:line="314"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评审委员会认定的供应商报价过低、有可能影响产品质量或者不能诚信履约的其他情形。 </w:t>
      </w:r>
      <w:r/>
    </w:p>
    <w:p>
      <w:pPr>
        <w:ind w:right="188" w:firstLine="481"/>
        <w:jc w:val="left"/>
        <w:spacing w:before="41" w:line="314" w:lineRule="auto"/>
        <w:widowControl/>
        <w:rPr>
          <w:rFonts w:hint="eastAsia" w:ascii="宋体" w:hAnsi="宋体"/>
          <w:bCs/>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宋体" w:hAnsi="宋体" w:eastAsia="宋体" w:cs="宋体"/>
          <w:b w:val="0"/>
          <w:bCs w:val="0"/>
          <w:color w:val="auto"/>
          <w:sz w:val="24"/>
          <w:szCs w:val="24"/>
          <w:highlight w:val="none"/>
          <w:lang w:val="en-US" w:eastAsia="zh-CN" w:bidi="ar-SA"/>
        </w:rPr>
        <w:t xml:space="preserve">，并</w:t>
      </w:r>
      <w:r>
        <w:rPr>
          <w:rFonts w:hint="default" w:ascii="宋体" w:hAnsi="宋体" w:eastAsia="宋体" w:cs="宋体"/>
          <w:b w:val="0"/>
          <w:bCs w:val="0"/>
          <w:color w:val="auto"/>
          <w:sz w:val="24"/>
          <w:szCs w:val="24"/>
          <w:highlight w:val="none"/>
          <w:lang w:val="en-US" w:eastAsia="zh-CN" w:bidi="ar-SA"/>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eastAsia="宋体"/>
          <w:bCs/>
          <w:color w:val="auto"/>
          <w:sz w:val="24"/>
          <w:highlight w:val="none"/>
          <w:lang w:val="en-US" w:eastAsia="zh-CN"/>
        </w:rPr>
        <w:t xml:space="preserve">4</w:t>
      </w:r>
      <w:r>
        <w:rPr>
          <w:rFonts w:hint="eastAsia" w:ascii="宋体" w:hAnsi="宋体"/>
          <w:bCs/>
          <w:color w:val="auto"/>
          <w:sz w:val="24"/>
          <w:highlight w:val="none"/>
        </w:rPr>
        <w:t xml:space="preserve">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20823307"/>
      <w:r/>
      <w:bookmarkStart w:id="121" w:name="_Toc513029235"/>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lang w:eastAsia="zh-CN"/>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lang w:eastAsia="zh-CN"/>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360" w:lineRule="auto"/>
        <w:rPr>
          <w:color w:val="auto"/>
          <w:sz w:val="30"/>
          <w:szCs w:val="30"/>
          <w:highlight w:val="none"/>
          <w:lang w:eastAsia="zh-CN"/>
        </w:rPr>
      </w:pPr>
      <w:r/>
      <w:bookmarkStart w:id="128" w:name="_Toc120614220"/>
      <w:r/>
      <w:bookmarkStart w:id="129" w:name="_Toc513029236"/>
      <w:r/>
      <w:bookmarkStart w:id="130" w:name="_Toc20823308"/>
      <w:r/>
      <w:bookmarkStart w:id="131" w:name="_Toc16938552"/>
      <w:r>
        <w:rPr>
          <w:rFonts w:hint="eastAsia"/>
          <w:color w:val="auto"/>
          <w:sz w:val="30"/>
          <w:szCs w:val="30"/>
          <w:highlight w:val="none"/>
          <w:lang w:eastAsia="zh-CN"/>
        </w:rPr>
        <w:t xml:space="preserve">七、授予合同</w:t>
      </w:r>
      <w:bookmarkEnd w:id="128"/>
      <w:r/>
      <w:bookmarkEnd w:id="129"/>
      <w:r/>
      <w:bookmarkEnd w:id="130"/>
      <w:r/>
      <w:bookmarkEnd w:id="131"/>
      <w:r/>
      <w:r/>
    </w:p>
    <w:p>
      <w:pPr>
        <w:pStyle w:val="1066"/>
        <w:ind w:firstLine="422"/>
        <w:keepLines w:val="0"/>
        <w:keepNext w:val="0"/>
        <w:spacing w:before="0" w:after="0" w:line="360" w:lineRule="auto"/>
        <w:rPr>
          <w:rFonts w:ascii="宋体" w:hAnsi="宋体" w:eastAsia="宋体"/>
          <w:bCs w:val="0"/>
          <w:color w:val="auto"/>
          <w:highlight w:val="none"/>
          <w:lang w:eastAsia="zh-CN"/>
        </w:rPr>
      </w:pPr>
      <w:r/>
      <w:bookmarkStart w:id="132" w:name="_Toc513029237"/>
      <w:r/>
      <w:bookmarkStart w:id="133" w:name="_Toc20823309"/>
      <w:r/>
      <w:bookmarkStart w:id="134"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lang w:eastAsia="zh-CN"/>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6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lang w:eastAsia="zh-CN"/>
        </w:rPr>
        <w:t xml:space="preserve">额的</w:t>
      </w:r>
      <w:r>
        <w:rPr>
          <w:rFonts w:hint="eastAsia" w:ascii="宋体" w:hAnsi="宋体"/>
          <w:color w:val="auto"/>
          <w:sz w:val="24"/>
          <w:szCs w:val="24"/>
          <w:highlight w:val="none"/>
        </w:rPr>
        <w:t xml:space="preserve">10%。</w:t>
      </w:r>
      <w:r/>
    </w:p>
    <w:p>
      <w:pPr>
        <w:pStyle w:val="1063"/>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063"/>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063"/>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063"/>
        <w:ind w:firstLine="0"/>
        <w:spacing w:line="360" w:lineRule="auto"/>
        <w:rPr>
          <w:rFonts w:ascii="黑体" w:eastAsia="黑体"/>
          <w:bCs/>
          <w:color w:val="auto"/>
          <w:sz w:val="36"/>
          <w:szCs w:val="36"/>
          <w:highlight w:val="none"/>
          <w:lang w:eastAsia="zh-CN"/>
        </w:rPr>
      </w:pPr>
      <w:r/>
      <w:bookmarkStart w:id="135" w:name="_Toc479757207"/>
      <w:r/>
      <w:bookmarkStart w:id="136" w:name="_Toc120614221"/>
      <w:r/>
      <w:bookmarkStart w:id="137" w:name="_Toc513029242"/>
      <w:r/>
      <w:bookmarkStart w:id="138" w:name="_Toc20823314"/>
      <w:r/>
      <w:bookmarkStart w:id="139" w:name="_Toc16938558"/>
      <w:r/>
      <w:r/>
    </w:p>
    <w:p>
      <w:pPr>
        <w:rPr>
          <w:rFonts w:hint="eastAsia" w:ascii="黑体" w:eastAsia="黑体"/>
          <w:bCs/>
          <w:color w:val="auto"/>
          <w:sz w:val="36"/>
          <w:szCs w:val="36"/>
          <w:highlight w:val="none"/>
          <w:lang w:eastAsia="zh-CN"/>
        </w:rPr>
      </w:pPr>
      <w:r>
        <w:rPr>
          <w:rFonts w:hint="eastAsia" w:ascii="黑体" w:eastAsia="黑体"/>
          <w:bCs/>
          <w:color w:val="auto"/>
          <w:sz w:val="36"/>
          <w:szCs w:val="36"/>
          <w:highlight w:val="none"/>
          <w:lang w:eastAsia="zh-CN"/>
        </w:rPr>
        <w:br w:type="page" w:clear="all"/>
      </w:r>
      <w:bookmarkEnd w:id="135"/>
      <w:r/>
      <w:bookmarkEnd w:id="136"/>
      <w:r/>
      <w:bookmarkEnd w:id="137"/>
      <w:r/>
      <w:bookmarkEnd w:id="138"/>
      <w:r/>
      <w:bookmarkEnd w:id="139"/>
      <w:r/>
      <w:r/>
    </w:p>
    <w:p>
      <w:pPr>
        <w:pStyle w:val="1063"/>
        <w:ind w:firstLine="0"/>
        <w:jc w:val="center"/>
        <w:spacing w:line="360" w:lineRule="auto"/>
        <w:rPr>
          <w:rFonts w:hint="eastAsia" w:ascii="宋体" w:hAnsi="宋体"/>
          <w:bCs/>
          <w:color w:val="auto"/>
          <w:sz w:val="24"/>
          <w:highlight w:val="none"/>
        </w:rPr>
      </w:pPr>
      <w:r/>
      <w:bookmarkStart w:id="140" w:name="_Toc513029243"/>
      <w:r/>
      <w:bookmarkStart w:id="141" w:name="_Toc20823315"/>
      <w:r/>
      <w:bookmarkStart w:id="142" w:name="_Toc16938559"/>
      <w:r>
        <w:rPr>
          <w:rFonts w:hint="eastAsia" w:ascii="黑体" w:eastAsia="黑体"/>
          <w:bCs/>
          <w:color w:val="auto"/>
          <w:sz w:val="36"/>
          <w:szCs w:val="36"/>
          <w:highlight w:val="none"/>
          <w:lang w:eastAsia="zh-CN"/>
        </w:rPr>
        <w:t xml:space="preserve">第三章  合同文本</w:t>
      </w:r>
      <w:bookmarkEnd w:id="140"/>
      <w:r/>
      <w:bookmarkEnd w:id="141"/>
      <w:r/>
      <w:bookmarkEnd w:id="142"/>
      <w:r/>
      <w:r/>
    </w:p>
    <w:p>
      <w:pPr>
        <w:jc w:val="center"/>
        <w:spacing w:line="360" w:lineRule="auto"/>
        <w:widowControl w:val="off"/>
        <w:rPr>
          <w:rFonts w:hint="eastAsia" w:ascii="宋体" w:hAnsi="宋体" w:eastAsia="宋体" w:cs="宋体"/>
          <w:b/>
          <w:color w:val="auto"/>
          <w:sz w:val="32"/>
          <w:szCs w:val="32"/>
          <w:highlight w:val="none"/>
          <w:lang w:eastAsia="zh-CN"/>
        </w:rPr>
      </w:pPr>
      <w:r/>
      <w:bookmarkStart w:id="143" w:name="_Hlt16619350"/>
      <w:r/>
      <w:bookmarkStart w:id="144" w:name="_Toc120614244"/>
      <w:r/>
      <w:bookmarkStart w:id="145" w:name="_Toc20823346"/>
      <w:r/>
      <w:bookmarkStart w:id="146" w:name="_Toc16938590"/>
      <w:r>
        <w:rPr>
          <w:rFonts w:hint="eastAsia" w:ascii="宋体" w:hAnsi="宋体" w:eastAsia="宋体" w:cs="宋体"/>
          <w:b/>
          <w:color w:val="auto"/>
          <w:sz w:val="32"/>
          <w:szCs w:val="32"/>
          <w:highlight w:val="none"/>
          <w:lang w:val="en-US" w:eastAsia="zh-CN"/>
        </w:rPr>
        <w:t xml:space="preserve">雪浪交警五中队警用装备、设备采购项目合同</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交货期/质保期：</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
          <w:bCs/>
          <w:color w:val="auto"/>
          <w:sz w:val="24"/>
          <w:highlight w:val="none"/>
          <w:u w:val="single"/>
        </w:rPr>
      </w:pPr>
      <w:r>
        <w:rPr>
          <w:rFonts w:hint="eastAsia" w:ascii="宋体" w:hAnsi="宋体"/>
          <w:bCs/>
          <w:color w:val="auto"/>
          <w:sz w:val="24"/>
          <w:highlight w:val="none"/>
        </w:rPr>
        <w:t xml:space="preserve">货款支付步骤和办法：</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其它事项：</w:t>
      </w:r>
      <w:r>
        <w:rPr>
          <w:rFonts w:ascii="宋体" w:hAnsi="宋体"/>
          <w:bCs/>
          <w:color w:val="auto"/>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eastAsia="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文件、合同条款及中标通知书，供方在投标、评标过程中所作其它有关承诺、声明、书面澄清等均为合同不可分割的部分，与主合同具有同等法律效力。</w:t>
      </w:r>
      <w:r/>
    </w:p>
    <w:p>
      <w:pPr>
        <w:numPr>
          <w:ilvl w:val="0"/>
          <w:numId w:val="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合同一式伍份，供需双方各执贰份，</w:t>
      </w:r>
      <w:r>
        <w:rPr>
          <w:rFonts w:hint="eastAsia" w:ascii="宋体" w:hAnsi="宋体"/>
          <w:bCs/>
          <w:color w:val="auto"/>
          <w:sz w:val="24"/>
          <w:highlight w:val="none"/>
          <w:lang w:val="en-US" w:eastAsia="zh-CN"/>
        </w:rPr>
        <w:t xml:space="preserve">采购代理机构</w:t>
      </w:r>
      <w:r>
        <w:rPr>
          <w:rFonts w:hint="eastAsia" w:ascii="宋体" w:hAnsi="宋体"/>
          <w:bCs/>
          <w:color w:val="auto"/>
          <w:sz w:val="24"/>
          <w:highlight w:val="none"/>
        </w:rPr>
        <w:t xml:space="preserve">执壹份。</w:t>
      </w:r>
      <w:r/>
    </w:p>
    <w:p>
      <w:pPr>
        <w:numPr>
          <w:ilvl w:val="0"/>
          <w:numId w:val="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本合同由供需双方签字、盖章后生效。</w:t>
      </w:r>
      <w:r/>
    </w:p>
    <w:tbl>
      <w:tblPr>
        <w:tblStyle w:val="79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068"/>
        <w:gridCol w:w="5069"/>
      </w:tblGrid>
      <w:tr>
        <w:trPr>
          <w:trHeight w:val="712"/>
        </w:trPr>
        <w:tc>
          <w:tcPr>
            <w:tcW w:w="5068" w:type="dxa"/>
            <w:vAlign w:val="top"/>
            <w:textDirection w:val="lrTb"/>
            <w:noWrap w:val="false"/>
          </w:tcPr>
          <w:p>
            <w:pPr>
              <w:jc w:val="left"/>
              <w:spacing w:line="360" w:lineRule="auto"/>
              <w:rPr>
                <w:rFonts w:hint="eastAsia" w:ascii="宋体" w:hAnsi="宋体"/>
                <w:bCs/>
                <w:color w:val="auto"/>
                <w:sz w:val="10"/>
                <w:szCs w:val="8"/>
                <w:highlight w:val="none"/>
              </w:rPr>
            </w:pPr>
            <w:r>
              <w:rPr>
                <w:rFonts w:hint="eastAsia" w:ascii="宋体" w:hAnsi="宋体"/>
                <w:bCs/>
                <w:color w:val="auto"/>
                <w:sz w:val="10"/>
                <w:szCs w:val="8"/>
                <w:highlight w:val="none"/>
              </w:rPr>
            </w:r>
            <w:r/>
          </w:p>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5069" w:type="dxa"/>
            <w:vAlign w:val="top"/>
            <w:textDirection w:val="lrTb"/>
            <w:noWrap w:val="false"/>
          </w:tcPr>
          <w:p>
            <w:pPr>
              <w:jc w:val="left"/>
              <w:spacing w:line="360" w:lineRule="auto"/>
              <w:rPr>
                <w:rFonts w:hint="eastAsia" w:ascii="宋体" w:hAnsi="宋体" w:eastAsia="宋体"/>
                <w:bCs/>
                <w:color w:val="auto"/>
                <w:sz w:val="10"/>
                <w:szCs w:val="8"/>
                <w:highlight w:val="none"/>
                <w:lang w:val="en-US" w:eastAsia="zh-CN"/>
              </w:rPr>
            </w:pPr>
            <w:r>
              <w:rPr>
                <w:rFonts w:hint="eastAsia" w:ascii="宋体" w:hAnsi="宋体" w:eastAsia="宋体"/>
                <w:bCs/>
                <w:color w:val="auto"/>
                <w:sz w:val="10"/>
                <w:szCs w:val="8"/>
                <w:highlight w:val="none"/>
                <w:lang w:val="en-US" w:eastAsia="zh-CN"/>
              </w:rPr>
            </w:r>
            <w:r/>
          </w:p>
          <w:p>
            <w:pPr>
              <w:jc w:val="left"/>
              <w:spacing w:line="360" w:lineRule="auto"/>
              <w:rPr>
                <w:rFonts w:hint="eastAsia" w:ascii="宋体" w:hAnsi="宋体"/>
                <w:bCs/>
                <w:color w:val="auto"/>
                <w:sz w:val="24"/>
                <w:highlight w:val="none"/>
                <w:vertAlign w:val="baseline"/>
              </w:rPr>
            </w:pPr>
            <w:r>
              <w:rPr>
                <w:rFonts w:hint="eastAsia" w:ascii="宋体" w:hAnsi="宋体" w:eastAsia="宋体"/>
                <w:bCs/>
                <w:color w:val="auto"/>
                <w:sz w:val="24"/>
                <w:highlight w:val="none"/>
                <w:lang w:val="en-US" w:eastAsia="zh-CN"/>
              </w:rPr>
              <w:t xml:space="preserve">供</w:t>
            </w:r>
            <w:r>
              <w:rPr>
                <w:rFonts w:hint="eastAsia" w:ascii="宋体" w:hAnsi="宋体"/>
                <w:bCs/>
                <w:color w:val="auto"/>
                <w:sz w:val="24"/>
                <w:highlight w:val="none"/>
              </w:rPr>
              <w:t xml:space="preserve">方（中标方）：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trHeight w:val="510"/>
        </w:trPr>
        <w:tc>
          <w:tcPr>
            <w:tcW w:w="5068"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tc>
        <w:tc>
          <w:tcPr>
            <w:tcW w:w="5069"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tc>
      </w:tr>
      <w:tr>
        <w:trPr>
          <w:trHeight w:val="510"/>
        </w:trPr>
        <w:tc>
          <w:tcPr>
            <w:tcW w:w="5068"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5069"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trHeight w:val="510"/>
        </w:trPr>
        <w:tc>
          <w:tcPr>
            <w:tcW w:w="5068"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vertAlign w:val="baseline"/>
              </w:rPr>
            </w:r>
            <w:r/>
          </w:p>
        </w:tc>
        <w:tc>
          <w:tcPr>
            <w:tcW w:w="5069"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eastAsia="宋体"/>
                <w:bCs/>
                <w:color w:val="auto"/>
                <w:sz w:val="24"/>
                <w:highlight w:val="none"/>
                <w:lang w:val="en-US" w:eastAsia="zh-CN"/>
              </w:rPr>
              <w:t xml:space="preserve">供</w:t>
            </w:r>
            <w:r>
              <w:rPr>
                <w:rFonts w:hint="eastAsia" w:ascii="宋体" w:hAnsi="宋体"/>
                <w:bCs/>
                <w:color w:val="auto"/>
                <w:sz w:val="24"/>
                <w:highlight w:val="none"/>
              </w:rPr>
              <w:t xml:space="preserve">方户名：</w:t>
            </w:r>
            <w:r>
              <w:rPr>
                <w:rFonts w:hint="eastAsia" w:ascii="宋体" w:hAnsi="宋体"/>
                <w:bCs/>
                <w:color w:val="auto"/>
                <w:sz w:val="24"/>
                <w:highlight w:val="none"/>
                <w:u w:val="single"/>
              </w:rPr>
              <w:t xml:space="preserve">                       </w:t>
            </w:r>
            <w:r/>
          </w:p>
        </w:tc>
      </w:tr>
      <w:tr>
        <w:trPr>
          <w:trHeight w:val="510"/>
        </w:trPr>
        <w:tc>
          <w:tcPr>
            <w:tcW w:w="5068"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vertAlign w:val="baseline"/>
              </w:rPr>
            </w:r>
            <w:r/>
          </w:p>
        </w:tc>
        <w:tc>
          <w:tcPr>
            <w:tcW w:w="5069"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eastAsia="宋体"/>
                <w:bCs/>
                <w:color w:val="auto"/>
                <w:sz w:val="24"/>
                <w:highlight w:val="none"/>
                <w:lang w:val="en-US" w:eastAsia="zh-CN"/>
              </w:rPr>
              <w:t xml:space="preserve">供</w:t>
            </w:r>
            <w:r>
              <w:rPr>
                <w:rFonts w:hint="eastAsia" w:ascii="宋体" w:hAnsi="宋体"/>
                <w:bCs/>
                <w:color w:val="auto"/>
                <w:sz w:val="24"/>
                <w:highlight w:val="none"/>
              </w:rPr>
              <w:t xml:space="preserve">方开户银行：</w:t>
            </w:r>
            <w:r>
              <w:rPr>
                <w:rFonts w:hint="eastAsia" w:ascii="宋体" w:hAnsi="宋体"/>
                <w:bCs/>
                <w:color w:val="auto"/>
                <w:sz w:val="24"/>
                <w:highlight w:val="none"/>
                <w:u w:val="single"/>
              </w:rPr>
              <w:t xml:space="preserve">                  </w:t>
            </w:r>
            <w:r/>
          </w:p>
        </w:tc>
      </w:tr>
      <w:tr>
        <w:trPr>
          <w:trHeight w:val="510"/>
        </w:trPr>
        <w:tc>
          <w:tcPr>
            <w:tcW w:w="5068"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bCs/>
                <w:color w:val="auto"/>
                <w:sz w:val="24"/>
                <w:highlight w:val="none"/>
                <w:vertAlign w:val="baseline"/>
              </w:rPr>
            </w:r>
            <w:r/>
          </w:p>
        </w:tc>
        <w:tc>
          <w:tcPr>
            <w:tcW w:w="5069" w:type="dxa"/>
            <w:vAlign w:val="top"/>
            <w:textDirection w:val="lrTb"/>
            <w:noWrap w:val="false"/>
          </w:tcPr>
          <w:p>
            <w:pPr>
              <w:jc w:val="left"/>
              <w:spacing w:line="360" w:lineRule="auto"/>
              <w:rPr>
                <w:rFonts w:hint="eastAsia" w:ascii="宋体" w:hAnsi="宋体"/>
                <w:bCs/>
                <w:color w:val="auto"/>
                <w:sz w:val="24"/>
                <w:highlight w:val="none"/>
                <w:vertAlign w:val="baseline"/>
              </w:rPr>
            </w:pPr>
            <w:r>
              <w:rPr>
                <w:rFonts w:hint="eastAsia" w:ascii="宋体" w:hAnsi="宋体" w:eastAsia="宋体"/>
                <w:bCs/>
                <w:color w:val="auto"/>
                <w:sz w:val="24"/>
                <w:highlight w:val="none"/>
                <w:lang w:val="en-US" w:eastAsia="zh-CN"/>
              </w:rPr>
              <w:t xml:space="preserve">供</w:t>
            </w:r>
            <w:r>
              <w:rPr>
                <w:rFonts w:hint="eastAsia" w:ascii="宋体" w:hAnsi="宋体"/>
                <w:bCs/>
                <w:color w:val="auto"/>
                <w:sz w:val="24"/>
                <w:highlight w:val="none"/>
              </w:rPr>
              <w:t xml:space="preserve">方</w:t>
            </w:r>
            <w:r>
              <w:rPr>
                <w:rFonts w:hint="eastAsia" w:ascii="宋体" w:hAnsi="宋体" w:eastAsia="宋体"/>
                <w:bCs/>
                <w:color w:val="auto"/>
                <w:sz w:val="24"/>
                <w:highlight w:val="none"/>
                <w:lang w:eastAsia="zh-CN"/>
              </w:rPr>
              <w:t xml:space="preserve">账号</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tc>
      </w:tr>
    </w:tbl>
    <w:p>
      <w:pPr>
        <w:jc w:val="left"/>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360" w:lineRule="auto"/>
        <w:widowControl w:val="off"/>
        <w:rPr>
          <w:rFonts w:hint="eastAsia" w:ascii="黑体" w:eastAsia="黑体"/>
          <w:bCs/>
          <w:color w:val="auto"/>
          <w:sz w:val="28"/>
          <w:szCs w:val="28"/>
          <w:highlight w:val="none"/>
        </w:rPr>
      </w:pPr>
      <w:r>
        <w:rPr>
          <w:rFonts w:hint="eastAsia" w:ascii="宋体" w:hAnsi="宋体" w:eastAsia="宋体" w:cs="宋体"/>
          <w:b/>
          <w:color w:val="auto"/>
          <w:sz w:val="32"/>
          <w:szCs w:val="32"/>
          <w:highlight w:val="none"/>
          <w:lang w:val="en-US" w:eastAsia="zh-CN"/>
        </w:rPr>
        <w:t xml:space="preserve">合同条款</w:t>
      </w:r>
      <w:r/>
    </w:p>
    <w:p>
      <w:pPr>
        <w:pStyle w:val="790"/>
        <w:ind w:firstLine="360"/>
        <w:jc w:val="both"/>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val="en-US" w:eastAsia="zh-CN"/>
        </w:rPr>
        <w:t xml:space="preserve">         </w:t>
      </w:r>
      <w:r>
        <w:rPr>
          <w:rFonts w:hint="eastAsia"/>
          <w:color w:val="auto"/>
          <w:highlight w:val="none"/>
          <w:u w:val="single"/>
        </w:rPr>
        <w:t xml:space="preserve">  </w:t>
      </w:r>
      <w:r>
        <w:rPr>
          <w:color w:val="auto"/>
          <w:highlight w:val="none"/>
        </w:rPr>
        <w:t xml:space="preserve">招标文件和该文件的中标通知书及供方投标文件，供需双方就此次招标及相关问题，同意按下列条款规定执行。</w:t>
      </w:r>
      <w:r/>
    </w:p>
    <w:p>
      <w:pPr>
        <w:pStyle w:val="790"/>
        <w:jc w:val="both"/>
        <w:spacing w:before="0" w:beforeAutospacing="0" w:after="0" w:afterAutospacing="0" w:line="360" w:lineRule="auto"/>
        <w:rPr>
          <w:color w:val="auto"/>
          <w:highlight w:val="none"/>
        </w:rPr>
      </w:pPr>
      <w:r>
        <w:rPr>
          <w:color w:val="auto"/>
          <w:highlight w:val="none"/>
        </w:rPr>
        <w:t xml:space="preserve">（一） 合同内容： 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790"/>
        <w:jc w:val="both"/>
        <w:spacing w:before="0" w:beforeAutospacing="0" w:after="0" w:afterAutospacing="0" w:line="360" w:lineRule="auto"/>
        <w:rPr>
          <w:color w:val="auto"/>
          <w:highlight w:val="none"/>
        </w:rPr>
      </w:pPr>
      <w:r>
        <w:rPr>
          <w:color w:val="auto"/>
          <w:highlight w:val="none"/>
        </w:rPr>
        <w:t xml:space="preserve">（二） 价格及支付：</w:t>
      </w:r>
      <w:r/>
    </w:p>
    <w:p>
      <w:pPr>
        <w:pStyle w:val="790"/>
        <w:jc w:val="both"/>
        <w:spacing w:before="0" w:beforeAutospacing="0" w:after="0" w:afterAutospacing="0" w:line="360" w:lineRule="auto"/>
        <w:rPr>
          <w:rFonts w:hint="eastAsia"/>
          <w:b/>
          <w:color w:val="auto"/>
          <w:highlight w:val="none"/>
          <w:u w:val="single"/>
        </w:rPr>
      </w:pPr>
      <w:r>
        <w:rPr>
          <w:color w:val="auto"/>
          <w:highlight w:val="none"/>
        </w:rPr>
        <w:t xml:space="preserve">1</w:t>
      </w:r>
      <w:r>
        <w:rPr>
          <w:rFonts w:hint="eastAsia"/>
          <w:color w:val="auto"/>
          <w:highlight w:val="none"/>
          <w:lang w:val="en-US" w:eastAsia="zh-CN"/>
        </w:rPr>
        <w:t xml:space="preserve">.</w:t>
      </w:r>
      <w:r>
        <w:rPr>
          <w:color w:val="auto"/>
          <w:highlight w:val="none"/>
        </w:rPr>
        <w:t xml:space="preserve">付款方式：</w:t>
      </w:r>
      <w:r>
        <w:rPr>
          <w:rFonts w:hint="eastAsia"/>
          <w:b w:val="0"/>
          <w:bCs/>
          <w:color w:val="auto"/>
          <w:highlight w:val="none"/>
          <w:u w:val="single"/>
        </w:rPr>
        <w:t xml:space="preserve">合同签订生效</w:t>
      </w:r>
      <w:r>
        <w:rPr>
          <w:rFonts w:hint="eastAsia"/>
          <w:b w:val="0"/>
          <w:bCs/>
          <w:color w:val="auto"/>
          <w:highlight w:val="none"/>
          <w:u w:val="single"/>
          <w:lang w:val="en-US" w:eastAsia="zh-CN"/>
        </w:rPr>
        <w:t xml:space="preserve">后支付30%的预付款</w:t>
      </w:r>
      <w:r>
        <w:rPr>
          <w:rFonts w:hint="eastAsia"/>
          <w:b w:val="0"/>
          <w:bCs/>
          <w:color w:val="auto"/>
          <w:highlight w:val="none"/>
          <w:u w:val="single"/>
        </w:rPr>
        <w:t xml:space="preserve">，设备交付、调试、验收合格后付至合同价的90%，项目验收合格</w:t>
      </w:r>
      <w:r>
        <w:rPr>
          <w:rFonts w:hint="eastAsia"/>
          <w:b w:val="0"/>
          <w:bCs/>
          <w:color w:val="auto"/>
          <w:highlight w:val="none"/>
          <w:u w:val="single"/>
          <w:lang w:val="en-US" w:eastAsia="zh-CN"/>
        </w:rPr>
        <w:t xml:space="preserve">一</w:t>
      </w:r>
      <w:r>
        <w:rPr>
          <w:rFonts w:hint="eastAsia"/>
          <w:b w:val="0"/>
          <w:bCs/>
          <w:color w:val="auto"/>
          <w:highlight w:val="none"/>
          <w:u w:val="single"/>
        </w:rPr>
        <w:t xml:space="preserve">年后付清余款。</w:t>
      </w:r>
      <w:r/>
    </w:p>
    <w:p>
      <w:pPr>
        <w:pStyle w:val="790"/>
        <w:jc w:val="both"/>
        <w:spacing w:before="0" w:beforeAutospacing="0" w:after="0" w:afterAutospacing="0" w:line="360" w:lineRule="auto"/>
        <w:rPr>
          <w:rFonts w:hint="default" w:eastAsia="宋体"/>
          <w:b w:val="0"/>
          <w:bCs/>
          <w:color w:val="auto"/>
          <w:highlight w:val="none"/>
          <w:u w:val="none"/>
          <w:lang w:val="en-US" w:eastAsia="zh-CN"/>
        </w:rPr>
      </w:pPr>
      <w:r>
        <w:rPr>
          <w:rFonts w:hint="eastAsia"/>
          <w:b w:val="0"/>
          <w:bCs/>
          <w:color w:val="auto"/>
          <w:highlight w:val="none"/>
          <w:u w:val="none"/>
          <w:lang w:val="en-US" w:eastAsia="zh-CN"/>
        </w:rPr>
        <w:t xml:space="preserve">2.本项目是否缴纳履约保证金：否。</w:t>
      </w:r>
      <w:r/>
    </w:p>
    <w:p>
      <w:pPr>
        <w:pStyle w:val="790"/>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三</w:t>
      </w:r>
      <w:r>
        <w:rPr>
          <w:color w:val="auto"/>
          <w:highlight w:val="none"/>
        </w:rPr>
        <w:t xml:space="preserve">） 知识产权</w:t>
      </w:r>
      <w:r/>
    </w:p>
    <w:p>
      <w:pPr>
        <w:pStyle w:val="790"/>
        <w:ind w:firstLine="360"/>
        <w:jc w:val="both"/>
        <w:spacing w:before="0" w:beforeAutospacing="0" w:after="0" w:afterAutospacing="0" w:line="360" w:lineRule="auto"/>
        <w:rPr>
          <w:color w:val="auto"/>
          <w:highlight w:val="none"/>
        </w:rPr>
      </w:pPr>
      <w:r>
        <w:rPr>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pStyle w:val="790"/>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四</w:t>
      </w:r>
      <w:r>
        <w:rPr>
          <w:color w:val="auto"/>
          <w:highlight w:val="none"/>
        </w:rPr>
        <w:t xml:space="preserve">） 质量与检验：</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1.</w:t>
      </w:r>
      <w:r>
        <w:rPr>
          <w:color w:val="auto"/>
          <w:highlight w:val="none"/>
        </w:rPr>
        <w:t xml:space="preserve">供方应严格按照招标文件的有关规定和供方投标文件提供合格的货物及服务。 </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2.</w:t>
      </w:r>
      <w:r>
        <w:rPr>
          <w:color w:val="auto"/>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3.</w:t>
      </w:r>
      <w:r>
        <w:rPr>
          <w:color w:val="auto"/>
          <w:highlight w:val="none"/>
        </w:rPr>
        <w:t xml:space="preserve">货物的到货验收包括：数量、外观、质量、性能、随机备件、装箱单、质量证书等随机资料及包装完整无破损。</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4.</w:t>
      </w:r>
      <w:r>
        <w:rPr>
          <w:color w:val="auto"/>
          <w:highlight w:val="none"/>
        </w:rPr>
        <w:t xml:space="preserve">货物和系统调试验收标准：按行业通行标准、厂方出厂标准、招标文件要求和供方投标文件的承诺，并不低于国家相关标准。</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5.</w:t>
      </w:r>
      <w:r>
        <w:rPr>
          <w:color w:val="auto"/>
          <w:highlight w:val="none"/>
        </w:rPr>
        <w:t xml:space="preserve">货物运到需方指定地点并经需方验证签收后，由于需方保管不善造成的质量问题，供方应负责修理，但有关费用由需方承担。</w:t>
      </w:r>
      <w:r/>
    </w:p>
    <w:p>
      <w:pPr>
        <w:pStyle w:val="790"/>
        <w:jc w:val="both"/>
        <w:spacing w:before="0" w:beforeAutospacing="0" w:after="0" w:afterAutospacing="0" w:line="360" w:lineRule="auto"/>
        <w:rPr>
          <w:color w:val="auto"/>
          <w:highlight w:val="none"/>
        </w:rPr>
      </w:pPr>
      <w:r>
        <w:rPr>
          <w:color w:val="auto"/>
          <w:highlight w:val="none"/>
        </w:rPr>
        <w:t xml:space="preserve">6. 需方应在货物运到并接到供方通知后及时按照招标文件要求和供方投标文件的约定组织验收。在验收过程中产生的质量及其他问题，需方须及时以书面形式提出异议</w:t>
      </w:r>
      <w:r>
        <w:rPr>
          <w:rFonts w:hint="eastAsia"/>
          <w:color w:val="auto"/>
          <w:highlight w:val="none"/>
          <w:lang w:eastAsia="zh-CN"/>
        </w:rPr>
        <w:t xml:space="preserve">，</w:t>
      </w:r>
      <w:r>
        <w:rPr>
          <w:color w:val="auto"/>
          <w:highlight w:val="none"/>
        </w:rPr>
        <w:t xml:space="preserve">供方在接到需方书面异议后应立即整改，否则承担违约责任。</w:t>
      </w:r>
      <w:r/>
    </w:p>
    <w:p>
      <w:pPr>
        <w:pStyle w:val="790"/>
        <w:jc w:val="both"/>
        <w:spacing w:before="0" w:beforeAutospacing="0" w:after="0" w:afterAutospacing="0" w:line="360" w:lineRule="auto"/>
        <w:rPr>
          <w:color w:val="auto"/>
          <w:highlight w:val="none"/>
        </w:rPr>
      </w:pPr>
      <w:r>
        <w:rPr>
          <w:color w:val="auto"/>
          <w:highlight w:val="none"/>
        </w:rPr>
        <w:t xml:space="preserve">7. 需方不得擅自变更招标文件要求和供方投标文件约定的性能、指标等相关内容，如有变更应按《中华人民共和国政府采购法》的相关程序执行。</w:t>
      </w:r>
      <w:r/>
    </w:p>
    <w:p>
      <w:pPr>
        <w:pStyle w:val="790"/>
        <w:jc w:val="both"/>
        <w:spacing w:before="0" w:beforeAutospacing="0" w:after="0" w:afterAutospacing="0" w:line="360" w:lineRule="auto"/>
        <w:rPr>
          <w:color w:val="auto"/>
          <w:highlight w:val="none"/>
        </w:rPr>
      </w:pPr>
      <w:r>
        <w:rPr>
          <w:color w:val="auto"/>
          <w:highlight w:val="none"/>
        </w:rPr>
        <w:t xml:space="preserve">（五） 交货条件：</w:t>
      </w:r>
      <w:r/>
    </w:p>
    <w:p>
      <w:pPr>
        <w:pStyle w:val="790"/>
        <w:jc w:val="both"/>
        <w:spacing w:before="0" w:beforeAutospacing="0" w:after="0" w:afterAutospacing="0" w:line="360" w:lineRule="auto"/>
        <w:rPr>
          <w:rFonts w:hint="eastAsia" w:ascii="宋体" w:hAnsi="宋体" w:eastAsia="宋体" w:cs="宋体"/>
          <w:color w:val="auto"/>
          <w:highlight w:val="none"/>
        </w:rPr>
      </w:pPr>
      <w:r>
        <w:rPr>
          <w:rFonts w:hint="eastAsia"/>
          <w:color w:val="auto"/>
          <w:highlight w:val="none"/>
          <w:lang w:eastAsia="zh-CN"/>
        </w:rPr>
        <w:t xml:space="preserve">1.</w:t>
      </w:r>
      <w:r>
        <w:rPr>
          <w:rFonts w:hint="eastAsia" w:cs="宋体"/>
          <w:bCs/>
          <w:color w:val="auto"/>
          <w:highlight w:val="none"/>
        </w:rPr>
        <w:t xml:space="preserve">供货期限：</w:t>
      </w:r>
      <w:r>
        <w:rPr>
          <w:rFonts w:hint="eastAsia" w:ascii="宋体" w:hAnsi="宋体" w:eastAsia="宋体" w:cs="宋体"/>
          <w:color w:val="auto"/>
          <w:sz w:val="24"/>
          <w:szCs w:val="24"/>
          <w:highlight w:val="none"/>
          <w:u w:val="single"/>
          <w:lang w:eastAsia="zh-CN"/>
        </w:rPr>
        <w:t xml:space="preserve">合同签订之日起30</w:t>
      </w:r>
      <w:r>
        <w:rPr>
          <w:rFonts w:hint="eastAsia" w:ascii="宋体" w:hAnsi="宋体" w:eastAsia="宋体" w:cs="宋体"/>
          <w:color w:val="auto"/>
          <w:sz w:val="24"/>
          <w:szCs w:val="24"/>
          <w:highlight w:val="none"/>
          <w:u w:val="single"/>
          <w:lang w:val="en-US" w:eastAsia="zh-CN"/>
        </w:rPr>
        <w:t xml:space="preserve">日历</w:t>
      </w:r>
      <w:r>
        <w:rPr>
          <w:rFonts w:hint="eastAsia" w:ascii="宋体" w:hAnsi="宋体" w:eastAsia="宋体" w:cs="宋体"/>
          <w:color w:val="auto"/>
          <w:sz w:val="24"/>
          <w:szCs w:val="24"/>
          <w:highlight w:val="none"/>
          <w:u w:val="single"/>
          <w:lang w:eastAsia="zh-CN"/>
        </w:rPr>
        <w:t xml:space="preserve">天内</w:t>
      </w:r>
      <w:r>
        <w:rPr>
          <w:rFonts w:hint="eastAsia" w:cs="宋体"/>
          <w:color w:val="auto"/>
          <w:sz w:val="24"/>
          <w:szCs w:val="24"/>
          <w:highlight w:val="none"/>
          <w:u w:val="single"/>
          <w:lang w:eastAsia="zh-CN"/>
        </w:rPr>
        <w:t xml:space="preserve">完成</w:t>
      </w:r>
      <w:r>
        <w:rPr>
          <w:rFonts w:hint="eastAsia" w:ascii="宋体" w:hAnsi="宋体" w:eastAsia="宋体" w:cs="宋体"/>
          <w:color w:val="auto"/>
          <w:sz w:val="24"/>
          <w:szCs w:val="24"/>
          <w:highlight w:val="none"/>
          <w:u w:val="single"/>
          <w:lang w:val="en-US" w:eastAsia="zh-CN"/>
        </w:rPr>
        <w:t xml:space="preserve">供货安装调试</w:t>
      </w:r>
      <w:r>
        <w:rPr>
          <w:rFonts w:hint="eastAsia" w:ascii="宋体" w:hAnsi="宋体" w:eastAsia="宋体" w:cs="宋体"/>
          <w:bCs/>
          <w:color w:val="auto"/>
          <w:highlight w:val="none"/>
        </w:rPr>
        <w:t xml:space="preserve">。</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2.</w:t>
      </w:r>
      <w:r>
        <w:rPr>
          <w:color w:val="auto"/>
          <w:highlight w:val="none"/>
        </w:rPr>
        <w:t xml:space="preserve">供方在验收时应先用信函、传真、电子邮件等书面方式通知需方。</w:t>
      </w:r>
      <w:r/>
    </w:p>
    <w:p>
      <w:pPr>
        <w:pStyle w:val="790"/>
        <w:jc w:val="both"/>
        <w:spacing w:before="0" w:beforeAutospacing="0" w:after="0" w:afterAutospacing="0" w:line="360" w:lineRule="auto"/>
        <w:rPr>
          <w:color w:val="auto"/>
          <w:highlight w:val="none"/>
        </w:rPr>
      </w:pPr>
      <w:r>
        <w:rPr>
          <w:color w:val="auto"/>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pStyle w:val="790"/>
        <w:jc w:val="both"/>
        <w:spacing w:before="0" w:beforeAutospacing="0" w:after="0" w:afterAutospacing="0" w:line="360" w:lineRule="auto"/>
        <w:rPr>
          <w:color w:val="auto"/>
          <w:highlight w:val="none"/>
        </w:rPr>
      </w:pPr>
      <w:r>
        <w:rPr>
          <w:color w:val="auto"/>
          <w:highlight w:val="none"/>
        </w:rPr>
        <w:t xml:space="preserve">4. 货物交货时，所有货物必须带有货物质量检验合格证书、中文质保单、装箱单、中文货物安装使用说明书。其它附件所有部件必须原包装。</w:t>
      </w:r>
      <w:r/>
    </w:p>
    <w:p>
      <w:pPr>
        <w:pStyle w:val="790"/>
        <w:ind w:left="2"/>
        <w:jc w:val="both"/>
        <w:spacing w:before="0" w:beforeAutospacing="0" w:after="0" w:afterAutospacing="0" w:line="360" w:lineRule="auto"/>
        <w:rPr>
          <w:color w:val="auto"/>
          <w:highlight w:val="none"/>
        </w:rPr>
      </w:pPr>
      <w:r>
        <w:rPr>
          <w:color w:val="auto"/>
          <w:highlight w:val="none"/>
        </w:rPr>
        <w:t xml:space="preserve">5. 运输及到货地点：由供方负责办理运输并承担所有费用，直接送到需方指定地点，即：以合同书上的地点为准。 </w:t>
      </w:r>
      <w:r/>
    </w:p>
    <w:p>
      <w:pPr>
        <w:pStyle w:val="790"/>
        <w:jc w:val="both"/>
        <w:spacing w:before="0" w:beforeAutospacing="0" w:after="0" w:afterAutospacing="0" w:line="360" w:lineRule="auto"/>
        <w:rPr>
          <w:color w:val="auto"/>
          <w:highlight w:val="none"/>
        </w:rPr>
      </w:pPr>
      <w:r>
        <w:rPr>
          <w:color w:val="auto"/>
          <w:highlight w:val="none"/>
        </w:rPr>
        <w:t xml:space="preserve">（六） 安装调试及售后服务：</w:t>
      </w:r>
      <w:r/>
    </w:p>
    <w:p>
      <w:pPr>
        <w:pStyle w:val="790"/>
        <w:jc w:val="both"/>
        <w:spacing w:before="0" w:beforeAutospacing="0" w:after="0" w:afterAutospacing="0" w:line="360" w:lineRule="auto"/>
        <w:rPr>
          <w:color w:val="auto"/>
          <w:highlight w:val="none"/>
        </w:rPr>
      </w:pPr>
      <w:r>
        <w:rPr>
          <w:color w:val="auto"/>
          <w:highlight w:val="none"/>
        </w:rPr>
        <w:t xml:space="preserve">1. 非人为操作原因损坏，所投标的</w:t>
      </w:r>
      <w:r>
        <w:rPr>
          <w:rStyle w:val="796"/>
          <w:b w:val="0"/>
          <w:bCs w:val="0"/>
          <w:color w:val="auto"/>
          <w:highlight w:val="none"/>
        </w:rPr>
        <w:t xml:space="preserve">全部产品</w:t>
      </w:r>
      <w:r>
        <w:rPr>
          <w:color w:val="auto"/>
          <w:highlight w:val="none"/>
        </w:rPr>
        <w:t xml:space="preserve">必须随时免费更换服务。</w:t>
      </w:r>
      <w:r/>
    </w:p>
    <w:p>
      <w:pPr>
        <w:pStyle w:val="790"/>
        <w:jc w:val="both"/>
        <w:spacing w:before="0" w:beforeAutospacing="0" w:after="0" w:afterAutospacing="0" w:line="360" w:lineRule="auto"/>
        <w:rPr>
          <w:color w:val="auto"/>
          <w:highlight w:val="none"/>
        </w:rPr>
      </w:pPr>
      <w:r>
        <w:rPr>
          <w:color w:val="auto"/>
          <w:highlight w:val="none"/>
        </w:rPr>
        <w:t xml:space="preserve">2. 供方负责本项目的安装和调试，并保证其提供的货物符合国家、行业、地方、招标文件要求和供方投标文件及合同规定的质量、性能和标准，并正确且安全地安装。</w:t>
      </w:r>
      <w:r/>
    </w:p>
    <w:p>
      <w:pPr>
        <w:pStyle w:val="790"/>
        <w:jc w:val="both"/>
        <w:spacing w:before="0" w:beforeAutospacing="0" w:after="0" w:afterAutospacing="0" w:line="360" w:lineRule="auto"/>
        <w:rPr>
          <w:color w:val="auto"/>
          <w:highlight w:val="none"/>
        </w:rPr>
      </w:pPr>
      <w:r>
        <w:rPr>
          <w:color w:val="auto"/>
          <w:highlight w:val="none"/>
        </w:rPr>
        <w:t xml:space="preserve">3. 供方提供的服务全部按照国家有关法律法规规章和“三包”规定以及按招标文件要求和供方投标文件中的承诺执行。</w:t>
      </w:r>
      <w:r/>
    </w:p>
    <w:p>
      <w:pPr>
        <w:pStyle w:val="790"/>
        <w:jc w:val="both"/>
        <w:spacing w:before="0" w:beforeAutospacing="0" w:after="0" w:afterAutospacing="0" w:line="360" w:lineRule="auto"/>
        <w:rPr>
          <w:color w:val="auto"/>
          <w:highlight w:val="none"/>
        </w:rPr>
      </w:pPr>
      <w:r>
        <w:rPr>
          <w:color w:val="auto"/>
          <w:highlight w:val="none"/>
        </w:rPr>
        <w:t xml:space="preserve">4. 质保期后的货物维护由双方协商再定。</w:t>
      </w:r>
      <w:r/>
    </w:p>
    <w:p>
      <w:pPr>
        <w:pStyle w:val="790"/>
        <w:jc w:val="both"/>
        <w:spacing w:before="0" w:beforeAutospacing="0" w:after="0" w:afterAutospacing="0" w:line="360" w:lineRule="auto"/>
        <w:rPr>
          <w:color w:val="auto"/>
          <w:highlight w:val="none"/>
        </w:rPr>
      </w:pPr>
      <w:r>
        <w:rPr>
          <w:color w:val="auto"/>
          <w:highlight w:val="none"/>
        </w:rPr>
        <w:t xml:space="preserve">5. 需方应向供方现场调试的技术人员及维修人员提供方便条件，有关费用由供方负责。</w:t>
      </w:r>
      <w:r/>
    </w:p>
    <w:p>
      <w:pPr>
        <w:pStyle w:val="790"/>
        <w:jc w:val="both"/>
        <w:spacing w:before="0" w:beforeAutospacing="0" w:after="0" w:afterAutospacing="0" w:line="360" w:lineRule="auto"/>
        <w:rPr>
          <w:color w:val="auto"/>
          <w:highlight w:val="none"/>
        </w:rPr>
      </w:pPr>
      <w:r>
        <w:rPr>
          <w:color w:val="auto"/>
          <w:highlight w:val="none"/>
        </w:rPr>
        <w:t xml:space="preserve">6. 需方如要求供方提供招标文件及供方投标文件以外的其它服务，其费用另定。</w:t>
      </w:r>
      <w:r/>
    </w:p>
    <w:p>
      <w:pPr>
        <w:pStyle w:val="790"/>
        <w:jc w:val="both"/>
        <w:spacing w:before="0" w:beforeAutospacing="0" w:after="0" w:afterAutospacing="0" w:line="360" w:lineRule="auto"/>
        <w:rPr>
          <w:color w:val="auto"/>
          <w:highlight w:val="none"/>
        </w:rPr>
      </w:pPr>
      <w:r>
        <w:rPr>
          <w:color w:val="auto"/>
          <w:highlight w:val="none"/>
        </w:rPr>
        <w:t xml:space="preserve">（七） 违约责任：</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1.</w:t>
      </w:r>
      <w:r>
        <w:rPr>
          <w:color w:val="auto"/>
          <w:highlight w:val="none"/>
        </w:rPr>
        <w:t xml:space="preserve"> 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2.</w:t>
      </w:r>
      <w:r>
        <w:rPr>
          <w:color w:val="auto"/>
          <w:highlight w:val="none"/>
        </w:rPr>
        <w:t xml:space="preserve"> 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3.</w:t>
      </w:r>
      <w:r>
        <w:rPr>
          <w:color w:val="auto"/>
          <w:highlight w:val="none"/>
        </w:rPr>
        <w:t xml:space="preserve"> 需方无正当理由逾期付款时，每逾期一日，需方应按照逾期付款金额的万分之五的标准累计计算向供方支付违约金。</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4.</w:t>
      </w:r>
      <w:r>
        <w:rPr>
          <w:color w:val="auto"/>
          <w:highlight w:val="none"/>
        </w:rPr>
        <w:t xml:space="preserve"> 由于需方的原因要求延期交货，需方应按规定承付货款，并承担供方提供的代为保管费。（有关仓储规定另议）</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5.</w:t>
      </w:r>
      <w:r>
        <w:rPr>
          <w:color w:val="auto"/>
          <w:highlight w:val="none"/>
        </w:rPr>
        <w:t xml:space="preserve"> 供方如无不可抗力，又未履行招标文件、投标文件和合同条款的，一经查实，由供方赔偿由此给需方造成的损失，并按照合同总价的 20%向需方支付违约金，因采购活动产生的其他责任及后果按招标文件的相关要求及处理方式执行。</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6.</w:t>
      </w:r>
      <w:r>
        <w:rPr>
          <w:color w:val="auto"/>
          <w:highlight w:val="none"/>
        </w:rPr>
        <w:t xml:space="preserve"> 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7.</w:t>
      </w:r>
      <w:r>
        <w:rPr>
          <w:color w:val="auto"/>
          <w:highlight w:val="none"/>
        </w:rPr>
        <w:t xml:space="preserve"> 如遭遇不可抗力事件，遭遇不可抗力的一方应尽快以书面形式将不可抗力的情况和原因通知另一方，并积极采取措施防止损失扩大。因不可抗力造成的损失，供、需双方按照法律规定处理。</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8.</w:t>
      </w:r>
      <w:r>
        <w:rPr>
          <w:color w:val="auto"/>
          <w:highlight w:val="none"/>
        </w:rPr>
        <w:t xml:space="preserve"> 招标文件及合同中所述之“不可抗力”系指不可预见、不可避免、不可克服的事件，包括但不限于：战争、洪水、台风、地震及其他</w:t>
      </w:r>
      <w:r>
        <w:rPr>
          <w:rFonts w:hint="eastAsia"/>
          <w:color w:val="auto"/>
          <w:highlight w:val="none"/>
          <w:lang w:eastAsia="zh-CN"/>
        </w:rPr>
        <w:t xml:space="preserve">法律法规</w:t>
      </w:r>
      <w:r>
        <w:rPr>
          <w:color w:val="auto"/>
          <w:highlight w:val="none"/>
        </w:rPr>
        <w:t xml:space="preserve">规定的事件。</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9.</w:t>
      </w:r>
      <w:r>
        <w:rPr>
          <w:color w:val="auto"/>
          <w:highlight w:val="none"/>
        </w:rPr>
        <w:t xml:space="preserve"> 如果供方在本合同履行完毕之前破产或无清偿能力，需方可在任何时候以书面形式通知供方，提出解除合同。该终止合同将不损害或影响需方已经采取或将要采取的任何行动或补救措施的权力。</w:t>
      </w:r>
      <w:r/>
    </w:p>
    <w:p>
      <w:pPr>
        <w:pStyle w:val="790"/>
        <w:jc w:val="both"/>
        <w:spacing w:before="0" w:beforeAutospacing="0" w:after="0" w:afterAutospacing="0" w:line="360" w:lineRule="auto"/>
        <w:rPr>
          <w:rFonts w:hint="default" w:eastAsia="宋体"/>
          <w:color w:val="auto"/>
          <w:highlight w:val="none"/>
          <w:lang w:val="en-US" w:eastAsia="zh-CN"/>
        </w:rPr>
      </w:pPr>
      <w:r>
        <w:rPr>
          <w:rFonts w:hint="eastAsia"/>
          <w:color w:val="auto"/>
          <w:highlight w:val="none"/>
          <w:lang w:val="en-US" w:eastAsia="zh-CN"/>
        </w:rPr>
        <w:t xml:space="preserve">10.  对于因需方原因（包括需方自身原因以及政策变动、规划调整等外部原因） 导致变更、中止或终止政府采购合同的，需方应当与供方协商一致并支付供方已完成部分的合同价款。</w:t>
      </w:r>
      <w:r/>
    </w:p>
    <w:p>
      <w:pPr>
        <w:pStyle w:val="790"/>
        <w:jc w:val="both"/>
        <w:spacing w:before="0" w:beforeAutospacing="0" w:after="0" w:afterAutospacing="0" w:line="360" w:lineRule="auto"/>
        <w:rPr>
          <w:color w:val="auto"/>
          <w:highlight w:val="none"/>
        </w:rPr>
      </w:pPr>
      <w:r>
        <w:rPr>
          <w:color w:val="auto"/>
          <w:highlight w:val="none"/>
        </w:rPr>
        <w:t xml:space="preserve">（八） </w:t>
      </w:r>
      <w:r>
        <w:rPr>
          <w:rFonts w:hint="eastAsia"/>
          <w:color w:val="auto"/>
          <w:highlight w:val="none"/>
        </w:rPr>
        <w:t xml:space="preserve">解决争议的方法</w:t>
      </w:r>
      <w:r/>
    </w:p>
    <w:p>
      <w:pPr>
        <w:pStyle w:val="79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1.</w:t>
      </w:r>
      <w:r>
        <w:rPr>
          <w:color w:val="auto"/>
          <w:highlight w:val="none"/>
        </w:rPr>
        <w:t xml:space="preserve"> </w:t>
      </w:r>
      <w:r>
        <w:rPr>
          <w:rFonts w:hint="eastAsia"/>
          <w:color w:val="auto"/>
          <w:highlight w:val="none"/>
          <w:lang w:val="en-US" w:eastAsia="zh-CN"/>
        </w:rPr>
        <w:t xml:space="preserve">供需</w:t>
      </w:r>
      <w:r>
        <w:rPr>
          <w:color w:val="auto"/>
          <w:highlight w:val="none"/>
        </w:rPr>
        <w:t xml:space="preserve">双方</w:t>
      </w:r>
      <w:r>
        <w:rPr>
          <w:rFonts w:hint="eastAsia"/>
          <w:color w:val="auto"/>
          <w:highlight w:val="none"/>
        </w:rPr>
        <w:t xml:space="preserve">因</w:t>
      </w:r>
      <w:r>
        <w:rPr>
          <w:color w:val="auto"/>
          <w:highlight w:val="none"/>
        </w:rPr>
        <w:t xml:space="preserve">合同</w:t>
      </w:r>
      <w:r>
        <w:rPr>
          <w:rFonts w:hint="eastAsia"/>
          <w:color w:val="auto"/>
          <w:highlight w:val="none"/>
        </w:rPr>
        <w:t xml:space="preserve">签订、履行而</w:t>
      </w:r>
      <w:r>
        <w:rPr>
          <w:color w:val="auto"/>
          <w:highlight w:val="none"/>
        </w:rPr>
        <w:t xml:space="preserve">发生的一切争议，应通过</w:t>
      </w:r>
      <w:r>
        <w:rPr>
          <w:rFonts w:hint="eastAsia"/>
          <w:color w:val="auto"/>
          <w:highlight w:val="none"/>
        </w:rPr>
        <w:t xml:space="preserve">友好</w:t>
      </w:r>
      <w:r>
        <w:rPr>
          <w:color w:val="auto"/>
          <w:highlight w:val="none"/>
        </w:rPr>
        <w:t xml:space="preserve">协商解决。如协商不成</w:t>
      </w:r>
      <w:r>
        <w:rPr>
          <w:rFonts w:hint="eastAsia"/>
          <w:color w:val="auto"/>
          <w:highlight w:val="none"/>
        </w:rPr>
        <w:t xml:space="preserve">由</w:t>
      </w:r>
      <w:r>
        <w:rPr>
          <w:rFonts w:hint="eastAsia"/>
          <w:color w:val="auto"/>
          <w:highlight w:val="none"/>
          <w:lang w:val="en-US" w:eastAsia="zh-CN"/>
        </w:rPr>
        <w:t xml:space="preserve">需方</w:t>
      </w:r>
      <w:r>
        <w:rPr>
          <w:rFonts w:hint="eastAsia"/>
          <w:color w:val="auto"/>
          <w:highlight w:val="none"/>
        </w:rPr>
        <w:t xml:space="preserve">住所地人民</w:t>
      </w:r>
      <w:r>
        <w:rPr>
          <w:color w:val="auto"/>
          <w:highlight w:val="none"/>
        </w:rPr>
        <w:t xml:space="preserve">法院</w:t>
      </w:r>
      <w:r>
        <w:rPr>
          <w:rFonts w:hint="eastAsia"/>
          <w:color w:val="auto"/>
          <w:highlight w:val="none"/>
        </w:rPr>
        <w:t xml:space="preserve">管辖。</w:t>
      </w:r>
      <w:r/>
    </w:p>
    <w:p>
      <w:pPr>
        <w:pStyle w:val="790"/>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lang w:val="en-US" w:eastAsia="zh-CN"/>
        </w:rPr>
        <w:t xml:space="preserve">九</w:t>
      </w:r>
      <w:r>
        <w:rPr>
          <w:color w:val="auto"/>
          <w:highlight w:val="none"/>
        </w:rPr>
        <w:t xml:space="preserve">） 合同生效及其它：</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1.</w:t>
      </w:r>
      <w:r>
        <w:rPr>
          <w:color w:val="auto"/>
          <w:highlight w:val="none"/>
        </w:rPr>
        <w:t xml:space="preserve">合同经供需双方代表签字并盖章后即生效。</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2.</w:t>
      </w:r>
      <w:r>
        <w:rPr>
          <w:color w:val="auto"/>
          <w:highlight w:val="none"/>
        </w:rPr>
        <w:t xml:space="preserve">合同签订后供需双方即直接产生权利与义务的关系，合同执行过程中出现的问题应按照合同约定、法律法规的规定办理，在合同履行过程中，双方如有争议应协商解决。如协商不能解决，双方可向无锡仲裁委员会申请仲裁，仲裁期间，除仲裁委员会要求停止履行合同或出现一方确实无法继续履行合同的情形外，本合同应继续履行。</w:t>
      </w:r>
      <w:r/>
    </w:p>
    <w:p>
      <w:pPr>
        <w:pStyle w:val="790"/>
        <w:jc w:val="both"/>
        <w:spacing w:before="0" w:beforeAutospacing="0" w:after="0" w:afterAutospacing="0" w:line="360" w:lineRule="auto"/>
        <w:rPr>
          <w:color w:val="auto"/>
          <w:highlight w:val="none"/>
        </w:rPr>
      </w:pPr>
      <w:r>
        <w:rPr>
          <w:rFonts w:hint="eastAsia"/>
          <w:color w:val="auto"/>
          <w:highlight w:val="none"/>
          <w:lang w:eastAsia="zh-CN"/>
        </w:rPr>
        <w:t xml:space="preserve">3.</w:t>
      </w:r>
      <w:r>
        <w:rPr>
          <w:color w:val="auto"/>
          <w:highlight w:val="none"/>
        </w:rPr>
        <w:t xml:space="preserve">合同在执行过程中出现的未尽事宜，双方在不违背本合同和招标文件的原则下协商解决，协商结果以书面形式签订补充协议，且补充协议与本合同具有同等效力。</w:t>
      </w:r>
      <w:r/>
    </w:p>
    <w:p>
      <w:pPr>
        <w:pStyle w:val="79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4.</w:t>
      </w:r>
      <w:r>
        <w:rPr>
          <w:color w:val="auto"/>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cs="宋体"/>
          <w:b/>
          <w:bCs/>
          <w:color w:val="auto"/>
          <w:sz w:val="28"/>
          <w:szCs w:val="28"/>
          <w:highlight w:val="none"/>
        </w:rPr>
        <w:br w:type="page" w:clear="all"/>
      </w:r>
      <w:r>
        <w:rPr>
          <w:rFonts w:hint="eastAsia"/>
          <w:color w:val="auto"/>
          <w:highlight w:val="none"/>
        </w:rPr>
      </w:r>
      <w:r/>
    </w:p>
    <w:p>
      <w:pPr>
        <w:ind w:firstLine="480"/>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firstLine="480"/>
        <w:jc w:val="left"/>
        <w:spacing w:line="360" w:lineRule="auto"/>
        <w:rPr>
          <w:rFonts w:hint="eastAsia" w:ascii="宋体" w:hAnsi="宋体" w:cs="宋体"/>
          <w:color w:val="auto"/>
          <w:sz w:val="24"/>
          <w:szCs w:val="24"/>
          <w:highlight w:val="none"/>
        </w:rPr>
      </w:pPr>
      <w:r/>
      <w:bookmarkStart w:id="147" w:name="_Toc49090575"/>
      <w:r/>
      <w:bookmarkStart w:id="148" w:name="_Toc120614281"/>
      <w:r/>
      <w:bookmarkStart w:id="149" w:name="_Toc26554093"/>
      <w:r>
        <w:rPr>
          <w:rFonts w:hint="eastAsia" w:ascii="宋体" w:hAnsi="宋体" w:cs="宋体"/>
          <w:color w:val="auto"/>
          <w:sz w:val="24"/>
          <w:szCs w:val="24"/>
          <w:highlight w:val="none"/>
        </w:rPr>
        <w:t xml:space="preserve">本项目属性：货物类项目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投标供应商提供满足以下要求的产品和服务，不得有负偏离。</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本项目标的物所属行业：</w:t>
      </w:r>
      <w:r>
        <w:rPr>
          <w:rFonts w:hint="eastAsia" w:ascii="宋体" w:hAnsi="宋体" w:eastAsia="宋体" w:cs="宋体"/>
          <w:color w:val="auto"/>
          <w:sz w:val="24"/>
          <w:szCs w:val="24"/>
          <w:highlight w:val="none"/>
          <w:lang w:val="en-US" w:eastAsia="zh-CN"/>
        </w:rPr>
        <w:t xml:space="preserve">工业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本项目核心产品为</w:t>
      </w:r>
      <w:r>
        <w:rPr>
          <w:rFonts w:hint="eastAsia" w:ascii="宋体" w:hAnsi="宋体" w:eastAsia="宋体" w:cs="宋体"/>
          <w:bCs/>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智能装备柜</w:t>
      </w:r>
      <w:r>
        <w:rPr>
          <w:rFonts w:hint="default"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副柜</w:t>
      </w:r>
      <w:r>
        <w:rPr>
          <w:rFonts w:hint="default"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、劝导机器人</w:t>
      </w:r>
      <w:r>
        <w:rPr>
          <w:rFonts w:hint="eastAsia" w:ascii="宋体" w:hAnsi="宋体" w:cs="宋体"/>
          <w:bCs/>
          <w:color w:val="auto"/>
          <w:sz w:val="24"/>
          <w:szCs w:val="24"/>
          <w:highlight w:val="none"/>
        </w:rPr>
        <w:t xml:space="preserve">。 </w:t>
      </w:r>
      <w:r/>
    </w:p>
    <w:p>
      <w:pPr>
        <w:spacing w:line="360" w:lineRule="auto"/>
        <w:rPr>
          <w:rFonts w:hint="eastAsia" w:ascii="宋体" w:hAnsi="宋体" w:cs="宋体"/>
          <w:b/>
          <w:color w:val="auto"/>
          <w:sz w:val="24"/>
          <w:szCs w:val="24"/>
          <w:highlight w:val="none"/>
          <w:u w:val="none"/>
        </w:rPr>
      </w:pPr>
      <w:r>
        <w:rPr>
          <w:rFonts w:hint="eastAsia" w:ascii="宋体" w:hAnsi="宋体" w:eastAsia="宋体" w:cs="宋体"/>
          <w:b/>
          <w:color w:val="auto"/>
          <w:sz w:val="24"/>
          <w:szCs w:val="24"/>
          <w:highlight w:val="none"/>
          <w:u w:val="none"/>
          <w:lang w:val="en-US" w:eastAsia="zh-CN"/>
        </w:rPr>
        <w:t xml:space="preserve">一、</w:t>
      </w:r>
      <w:r>
        <w:rPr>
          <w:rFonts w:hint="eastAsia" w:ascii="宋体" w:hAnsi="宋体" w:cs="宋体"/>
          <w:b/>
          <w:color w:val="auto"/>
          <w:sz w:val="24"/>
          <w:szCs w:val="24"/>
          <w:highlight w:val="none"/>
          <w:u w:val="none"/>
        </w:rPr>
        <w:t xml:space="preserve">项目技术要求</w:t>
      </w:r>
      <w:r/>
    </w:p>
    <w:p>
      <w:pPr>
        <w:ind w:firstLine="56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随着警务装备现代化建设步伐的加快，现有警务装备的数量、种类以及管理等都发生了巨大变化，这对装备库房提出了更高要求。为深入贯彻落实“装备制胜”理念，助力培育、提高公安新质战斗力，雪浪交警中队将装备体系建设工作作为一项重点工作全力推进，拟建设智能装备库（面积约为46㎡），对警用装备进行精准定位、出库入库智能复核，实现装备进出库零误差，24小时无人值守、无接触式领用及归还。</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第一部分</w:t>
      </w:r>
      <w:r>
        <w:rPr>
          <w:rFonts w:hint="eastAsia" w:ascii="宋体" w:hAnsi="宋体" w:cs="宋体"/>
          <w:bCs/>
          <w:color w:val="auto"/>
          <w:sz w:val="24"/>
          <w:szCs w:val="24"/>
          <w:highlight w:val="none"/>
          <w:lang w:val="en-US" w:eastAsia="zh-CN"/>
        </w:rPr>
        <w:t xml:space="preserve">：</w:t>
      </w:r>
      <w:r/>
    </w:p>
    <w:tbl>
      <w:tblPr>
        <w:tblStyle w:val="75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1"/>
        <w:gridCol w:w="1424"/>
        <w:gridCol w:w="4856"/>
        <w:gridCol w:w="861"/>
        <w:gridCol w:w="823"/>
        <w:gridCol w:w="823"/>
      </w:tblGrid>
      <w:tr>
        <w:trPr>
          <w:trHeight w:val="255"/>
        </w:trPr>
        <w:tc>
          <w:tcPr>
            <w:gridSpan w:val="6"/>
            <w:shd w:val="clear" w:color="auto" w:fill="auto"/>
            <w:tcBorders>
              <w:top w:val="none" w:color="000000" w:sz="4" w:space="0"/>
              <w:left w:val="none" w:color="000000" w:sz="4" w:space="0"/>
              <w:bottom w:val="none" w:color="000000" w:sz="4" w:space="0"/>
              <w:right w:val="none" w:color="000000" w:sz="4" w:space="0"/>
            </w:tcBorders>
            <w:tcW w:w="951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智能装备库</w:t>
            </w:r>
            <w:r/>
          </w:p>
        </w:tc>
      </w:tr>
      <w:tr>
        <w:trPr>
          <w:trHeight w:val="240"/>
        </w:trPr>
        <w:tc>
          <w:tcPr>
            <w:shd w:val="clear" w:color="auto" w:fill="auto"/>
            <w:tcBorders>
              <w:top w:val="single" w:color="000000" w:sz="8"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856"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技术参数或特征描述</w:t>
            </w:r>
            <w:r/>
          </w:p>
        </w:tc>
        <w:tc>
          <w:tcPr>
            <w:shd w:val="clear" w:color="auto" w:fill="auto"/>
            <w:tcBorders>
              <w:top w:val="single" w:color="000000" w:sz="8"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所属行业</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Efficient-core 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内核12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总线成 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处理器功耗35w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运行内存  32g</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人脸识别设备</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人脸识别设备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申领系流程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开/关门管理系统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入/出门记录</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门禁机</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超强四核处理器i5-5300U</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内置立体声扬声器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红外补光、LED补光灯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有线网络、无线WIFI、4G网络（可选配）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IS014443A、IS014443B、I0S15693、IS018092、Felica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0mm~30mm（视标签与天线而定）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640x480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倾角士55°，转动 360°</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64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角钢焊接，安全可靠、装拆简单、可独立使用等优点，货架立柱与横梁选用活扣连接并配有定位销，层与层之间的高度可按货物的尺度调节，4层层板、每层承重200KG立柱5x3cm、横梁5x3cm，长度200cm。横梁在30-70cm处有透光指示灯版，可显示“正常、异常、领用、归还”，与库房管理软件互通，实现领用、归还指引。货架尺寸≥高200x宽200x深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功能：可拆装、移动、升降、储藏、多功能，有侧面封堵板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层板规格≥0.5mm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层载重量≥250kg</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智能装备柜主机柜</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（1）用于存放主机、线路汇总等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（2）尺寸≥560*2000*550mm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（3）柜体结构：柜体拆分式结构，满足现场主机、线路存放等等；</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528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智能装备柜（副柜）</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（1）柜体颜色：柜体深灰色；含内部装备管理系统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（2）尺寸≥600*2000*590mm；可存放2套新款单警套装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（3）柜体结构：柜体拆分式结构，满足现场增加柜门数量等；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（4）材质：钢板采用1.0mm的武钢、鞍钢、宝钢以上品牌产品中选择其中一个作为优质冷轧板，柜体经冷加工成型，经酸洗磷化，确保长期使用不易生锈；特殊部位进行加强筋处理保证柜体绝对牢固；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（5）喷塑工艺：前处理：去锈－中和－去油－中和－磷化－水洗－烘干－打磨－补腻－打磨。后处理：静电粉体喷塑；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（6）结构与外观：表面处理：外表采用喷塑处理，外观无漏塑、气、皮、针孔、皱皮等缺陷；标识：电器面    （7）双重核验、异常提示，RFID、smat双重核验，精准定位。装备领取、归还、未关门等异常操作提示。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（8）装备状态提示，三色灯光状态提示，红光：异常提示，黄光：维护提示（定期充电、维护）、蓝光：正常兼方位提示。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（9）智能感知装备电量状态、充电完成后物理断电，充电数据分析、充电AI提醒、记录仪数据自动上传。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（10）柜门电子信息牌快速更新显示，功耗低，寿命长。</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语音播报设备</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装备库房装备领取归还语音提示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1、语音提示“xxx识别成功，您有领取的装备”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2、语音报警系统：取还装备未关门报警提示关闭柜门“请关闭**号柜门”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24"/>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人脸识别定位模块</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参数：200万像素，定焦，处理器：GPU多核专用芯片组，传感器类型：1/1.8Progressive Scan CMOS，有效像素：1920X1080，最低照度：彩色：</w:t>
            </w:r>
            <w:r>
              <w:rPr>
                <w:rFonts w:hint="eastAsia" w:ascii="宋体" w:hAnsi="宋体" w:eastAsia="宋体" w:cs="宋体"/>
                <w:i w:val="0"/>
                <w:iCs w:val="0"/>
                <w:color w:val="auto"/>
                <w:sz w:val="20"/>
                <w:szCs w:val="20"/>
                <w:highlight w:val="none"/>
                <w:u w:val="none"/>
                <w:lang w:val="en-US" w:eastAsia="zh-CN" w:bidi="ar"/>
              </w:rPr>
              <w:t xml:space="preserve">0.001Lux，噪音比》50db，宽动态范围》</w:t>
            </w:r>
            <w:r>
              <w:rPr>
                <w:rFonts w:hint="eastAsia" w:ascii="宋体" w:hAnsi="宋体" w:eastAsia="宋体" w:cs="宋体"/>
                <w:i w:val="0"/>
                <w:iCs w:val="0"/>
                <w:color w:val="auto"/>
                <w:sz w:val="20"/>
                <w:szCs w:val="20"/>
                <w:highlight w:val="none"/>
                <w:u w:val="none"/>
                <w:lang w:val="en-US" w:eastAsia="zh-CN" w:bidi="ar"/>
              </w:rPr>
              <w:t xml:space="preserve">120db，快门：1秒至1/10000秒，镜头接口：c/cs接口，码流：主码流：1920x1080,1280x760,1280x720，次码</w:t>
            </w:r>
            <w:r>
              <w:rPr>
                <w:rFonts w:hint="eastAsia" w:ascii="宋体" w:hAnsi="宋体" w:eastAsia="宋体" w:cs="宋体"/>
                <w:i w:val="0"/>
                <w:iCs w:val="0"/>
                <w:color w:val="auto"/>
                <w:sz w:val="20"/>
                <w:szCs w:val="20"/>
                <w:highlight w:val="none"/>
                <w:u w:val="none"/>
                <w:lang w:val="en-US" w:eastAsia="zh-CN" w:bidi="ar"/>
              </w:rPr>
              <w:t xml:space="preserve">流：960x528,640x480,320x240，视频编码：H.265MP、H.264BP/MP/HP、MJPEG；音频编码：G.711A/G.711U/G.726，最小检测瞳距：30像素，单帐最大检测人脸数：16；接口：1个rj45,1个报警输入接口，1个报警输出接口，1个SD卡槽等等，字幕叠加：叠加抓拍时间、地点、路况编码、设备编号，接口协议：ONVIF,GB/T28181，工作温湿度：-40~55°C,0%~90%，电源接口：DC12V，最大功耗：6W，尺寸：80x55x154，重量：0.5特征：支</w:t>
            </w:r>
            <w:r>
              <w:rPr>
                <w:rFonts w:hint="eastAsia" w:ascii="宋体" w:hAnsi="宋体" w:eastAsia="宋体" w:cs="宋体"/>
                <w:i w:val="0"/>
                <w:iCs w:val="0"/>
                <w:color w:val="auto"/>
                <w:sz w:val="20"/>
                <w:szCs w:val="20"/>
                <w:highlight w:val="none"/>
                <w:u w:val="none"/>
                <w:lang w:val="en-US" w:eastAsia="zh-CN" w:bidi="ar"/>
              </w:rPr>
              <w:t xml:space="preserve">持智能人脸与头肩检测跟踪、抓拍功能；可对设定区域内的行人进行人脸检测和人脸跟踪，并抓拍人脸图片和数量设置，支持感兴趣区域ROI和人脸增强功能，可设置开启/关闭，人脸抓拍模式：实时抓拍、间隔抓拍、离开后抓拍，人脸曝光模式：人脸普通模式，人脸自适应模式；人脸抓拍次数、间隔、阈值可设置；人脸抓拍图片大小、编码质量、生成速度可设置；抓拍的整幅图和人脸图片可上传到平台服务器，与服务器端后台软件配合，可进行人脸比对和性别、年龄分析及人脸轨迹追踪；支持远程算法模块软件升级；支持强光抑制功能，抑制图像中强光照射区域过度曝光</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80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（1）设备应为高清网络录像机，应采用工业级嵌入式架构，采用专用芯片和嵌入式操作系统，稳定可靠；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（2）设备应支持8路5Mbps码流接入，带宽320Mbps；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（3）NVR支持8路同步回放，解码分辨率1080P；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（4）1080P摄像机视频源接入NVR，清晰度为：监看900线，回放900线；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（5）支持视频源分辨率：1920×1080；1280×720；704×576；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（6）支持NVR 本地 HDMI 和 VGA 支持主辅双屏输出，分别进行预览或回放，支持双HDMI 异源输出；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（7）支持预览图像与回放图像的电子放大；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（8）支持视频入侵、视频信号丢失、报警联动、报警预录等功能；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（9）设备应具备2×RJ45、1×LineIn、1×LineOut、16告警输入、6路告警输出、2×HDMI、1×VGA、4×USB、1×eSATA接口，串行接口1个RS-232/1个RS-485；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10、内置16×SATA接口，单盘容量支持6T，可配置成单盘，支持Raid0、Raid1、Raid5、Raid6、Raid10、Raid50、Raid60、JBOD等各种数据保护模式。</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企业级 SATA接口 8T/7200rpm，可根据摄像头数量调整硬盘数量，要求满足所有摄像机存储30天以上录像数据</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RFID读写器</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超高频RFID读写器 桌面式读写器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采用一体化结构，自带读写模块与天线，远距离精准识别电子标签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内置2dBi天线，读卡距离0-3米</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528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RFID设备</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高性能十六通道，独一无二的I-Search多标签识别算法，提供高识别效率。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为读取少量标签优化的算法，读取少量标签的应用设计的算法。超高的标签反应速度。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双CPU架构设计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主CPU负责轮询标签，副CPU负责数据管理。轮询标签和发送数据并行，互不占用对方的时间，极大地提高了整体性能。副CPU负责产生真正的随机数并监控系统的运行状态。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快速4天线轮询功能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高速轮询8天线。每个天线最短轮询时间约25ms。可单独配置各天线的轮询时间。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两种标签盘存模式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缓存模式和实时模式。缓存模式读到标签后先放入缓存并过滤重复数据，数据无冗余。实时模式读到标签后立即上传，用户可第一时间得到标签数据。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硬件死机监测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硬件监测CPU运行状态。24小时×365天常年运行不死机。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18000-6B大数据一次性读写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保证射频输出功率精确可控。两个互相备份的功率校验模块。除非同时损坏，系统均可正常运行。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RFID天线及延长馈线</w:t>
            </w:r>
            <w:r/>
          </w:p>
        </w:tc>
        <w:tc>
          <w:tcPr>
            <w:shd w:val="clear" w:color="auto" w:fill="auto"/>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（1）射频芯片采用INDY R2000，射频通道基于Impinj性能优异的R2000专用UHF RFID芯片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（2）工作温度： -20 °C  -  +55  °C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（3）存储温度： -20 °C  -  +85  °C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（4）工作湿度：&lt; 95% @ 25 °C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（5）输入电压：DC 12V – 18V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（6）最大工作电流： 600mA  +/-5% @ DC 12V Input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（7）空中接口协议：EPCglobal UHF Class 1 Gen 2 / ISO 18000-6C ISO 18000-6B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（8）工作频谱范围：860Mhz – 960Mhz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（9）输出功率：0 – 33dBm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（10）接收灵敏度：&lt; -85 dBm，盘存标签峰值速度： &gt; 700张/秒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（11）标签缓存区：1000张标签 @ 96 bit EPC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（12）标签RSSI：支持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（13）天线连接保护：支持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bl>
    <w:p>
      <w:pPr>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r>
      <w:r/>
    </w:p>
    <w:p>
      <w:pPr>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r>
      <w:r/>
    </w:p>
    <w:p>
      <w:pPr>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t xml:space="preserve">第二部分：</w:t>
      </w:r>
      <w:r/>
    </w:p>
    <w:tbl>
      <w:tblPr>
        <w:tblStyle w:val="757"/>
        <w:tblW w:w="96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900"/>
        <w:gridCol w:w="3497"/>
        <w:gridCol w:w="2826"/>
        <w:gridCol w:w="642"/>
        <w:gridCol w:w="687"/>
        <w:gridCol w:w="687"/>
      </w:tblGrid>
      <w:tr>
        <w:trPr>
          <w:trHeight w:val="255"/>
        </w:trPr>
        <w:tc>
          <w:tcPr>
            <w:gridSpan w:val="7"/>
            <w:shd w:val="clear" w:color="auto" w:fill="auto"/>
            <w:tcBorders>
              <w:top w:val="none" w:color="000000" w:sz="4" w:space="0"/>
              <w:left w:val="none" w:color="000000" w:sz="4" w:space="0"/>
              <w:bottom w:val="none" w:color="000000" w:sz="4" w:space="0"/>
              <w:right w:val="none" w:color="000000" w:sz="4" w:space="0"/>
            </w:tcBorders>
            <w:tcW w:w="969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宣教室</w:t>
            </w:r>
            <w:r/>
          </w:p>
        </w:tc>
      </w:tr>
      <w:tr>
        <w:trPr>
          <w:trHeight w:val="240"/>
        </w:trPr>
        <w:tc>
          <w:tcPr>
            <w:shd w:val="clear" w:color="auto" w:fill="ffffff"/>
            <w:tcBorders>
              <w:top w:val="single" w:color="000000" w:sz="8"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ffffff"/>
            <w:tcBorders>
              <w:top w:val="single" w:color="000000" w:sz="8"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ffffff"/>
            <w:tcBorders>
              <w:top w:val="single" w:color="000000" w:sz="8" w:space="0"/>
              <w:left w:val="single" w:color="000000" w:sz="4" w:space="0"/>
              <w:bottom w:val="single" w:color="000000" w:sz="4" w:space="0"/>
              <w:right w:val="single" w:color="000000" w:sz="4" w:space="0"/>
            </w:tcBorders>
            <w:tcW w:w="2826"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技术参数或特征描述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所属行业</w:t>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VR交通安全模拟设备</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409575</wp:posOffset>
                      </wp:positionV>
                      <wp:extent cx="2072005" cy="1558925"/>
                      <wp:effectExtent l="0" t="0" r="4445" b="3175"/>
                      <wp:wrapNone/>
                      <wp:docPr id="4" name="ID_FAB48C8051B94D1783352C0A428FFDC4"/>
                      <wp:cNvGraphicFramePr/>
                      <a:graphic xmlns:a="http://schemas.openxmlformats.org/drawingml/2006/main">
                        <a:graphicData uri="http://schemas.openxmlformats.org/drawingml/2006/picture">
                          <pic:pic xmlns:pic="http://schemas.openxmlformats.org/drawingml/2006/picture">
                            <pic:nvPicPr>
                              <pic:cNvPr id="6" name="ID_FAB48C8051B94D1783352C0A428FFDC4"/>
                              <pic:cNvPicPr/>
                              <pic:nvPr/>
                            </pic:nvPicPr>
                            <pic:blipFill>
                              <a:blip r:embed="rId15"/>
                              <a:stretch/>
                            </pic:blipFill>
                            <pic:spPr bwMode="auto">
                              <a:xfrm>
                                <a:off x="0" y="0"/>
                                <a:ext cx="2072004" cy="1558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6pt;mso-position-horizontal:absolute;mso-position-vertical-relative:text;margin-top:32.2pt;mso-position-vertical:absolute;width:163.2pt;height:122.8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安全体验让体验者有更加逼真的感受。可以直接通过3D技术模拟体验针对机动车驾驶员、电动车驾驶员、工程车驾驶员、行人四类人群，通过虚拟现实技术集成显示及处理器的全景视频VR一体机观看24种交通安全事故全景视频与真实事故视频。过程中，体验者可以通过注视点交互360°观看4K全景视频，体验交通事故的发生，从而养成防御性驾驶的习惯，预防事故的发生。白色平台A/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软件内容：非机动车闯红绿灯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非机动车带人、非机动车鬼探头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机动车逆行、非机动车走错道、非机动车醉酒、机动车开车门、机动车礼让行人、机动车玩手机、机动车醉酒、行人闯红灯、行人鬼探头、行人横穿马路横跨栏杆、公交车鬼探头、中巴车鬼探头、右转弯大货车视角、右转弯非机动车视角、酒后驾驶、吸毒驾驶、疲劳驾驶、西湖毒驾、超载驾驶、夜间卡车疲劳驾驶、超重驾驶</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20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VR电动车骑行设备</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68580</wp:posOffset>
                      </wp:positionH>
                      <wp:positionV relativeFrom="paragraph">
                        <wp:posOffset>229235</wp:posOffset>
                      </wp:positionV>
                      <wp:extent cx="2022475" cy="2060575"/>
                      <wp:effectExtent l="0" t="0" r="15875" b="15875"/>
                      <wp:wrapNone/>
                      <wp:docPr id="5" name="图片_6"/>
                      <wp:cNvGraphicFramePr/>
                      <a:graphic xmlns:a="http://schemas.openxmlformats.org/drawingml/2006/main">
                        <a:graphicData uri="http://schemas.openxmlformats.org/drawingml/2006/picture">
                          <pic:pic xmlns:pic="http://schemas.openxmlformats.org/drawingml/2006/picture">
                            <pic:nvPicPr>
                              <pic:cNvPr id="7" name="图片_6"/>
                              <pic:cNvPicPr/>
                              <pic:nvPr/>
                            </pic:nvPicPr>
                            <pic:blipFill>
                              <a:blip r:embed="rId16"/>
                              <a:stretch/>
                            </pic:blipFill>
                            <pic:spPr bwMode="auto">
                              <a:xfrm>
                                <a:off x="0" y="0"/>
                                <a:ext cx="2022475" cy="206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4pt;mso-position-horizontal:absolute;mso-position-vertical-relative:text;margin-top:18.1pt;mso-position-vertical:absolute;width:159.2pt;height:162.2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电动车安全骑行是一款骑行安全教育体验产品，通过虚拟现实技术（VR）和体感电动车联动，使得体验者可以在多种3D场景下进行事故体验。本系统主要包括鬼探头、视野盲区、逆行体验、未戴安全帽、走机动车道和闯红灯等七种骑行模拟3D场景，体验者随机选择场景后，可在一比一还原的电动车上进行骑行操作包括调节车速，摆动车头方向等。每种场景均有主动体验和被动体验两种体验模式，在保证体验者安全的前提下，进行实践体验，让体验者真实感受电动车事故发生带来的冲击感和恐惧感，增强体验者安全骑行意识，遵守交通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主机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驾驶模拟器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21.5寸触控屏幕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50寸品牌电视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VR眼镜一套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搭载软件：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鬼探头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视野盲区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逆行体验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未戴安全帽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走机动车道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闯红灯</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6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安全知识抢答设备（交通三人版）</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wp:posOffset>
                      </wp:positionH>
                      <wp:positionV relativeFrom="paragraph">
                        <wp:posOffset>14605</wp:posOffset>
                      </wp:positionV>
                      <wp:extent cx="2011045" cy="1477645"/>
                      <wp:effectExtent l="0" t="0" r="8255" b="8255"/>
                      <wp:wrapNone/>
                      <wp:docPr id="6" name="ID_3376D10E43AF4BCE9A5BE4E4A083012A"/>
                      <wp:cNvGraphicFramePr/>
                      <a:graphic xmlns:a="http://schemas.openxmlformats.org/drawingml/2006/main">
                        <a:graphicData uri="http://schemas.openxmlformats.org/drawingml/2006/picture">
                          <pic:pic xmlns:pic="http://schemas.openxmlformats.org/drawingml/2006/picture">
                            <pic:nvPicPr>
                              <pic:cNvPr id="5" name="ID_3376D10E43AF4BCE9A5BE4E4A083012A"/>
                              <pic:cNvPicPr/>
                              <pic:nvPr/>
                            </pic:nvPicPr>
                            <pic:blipFill>
                              <a:blip r:embed="rId17"/>
                              <a:stretch/>
                            </pic:blipFill>
                            <pic:spPr bwMode="auto">
                              <a:xfrm>
                                <a:off x="0" y="0"/>
                                <a:ext cx="2011045" cy="1477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4pt;mso-position-horizontal:absolute;mso-position-vertical-relative:text;margin-top:1.1pt;mso-position-vertical:absolute;width:158.3pt;height:116.3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1.交通知识抢答系统中包含全面的交通知识，可通过后台管理程序进行实时更新；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2、支持多人同时答题，根据答题情况，判定计算排名，设备自主进行问答、评分。通过人机交互自动问答模式，加强体验者的交通知识记忆。</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劝导机器人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劝导机器人将违章检测抓拍系统、信息发布系统融合为一体，对非机动车不戴头盔、载人、逆行等违法行为检测和信息发布。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★支持检测非机动车违章，可检测出非机动车驾驶员未佩戴头盔、逆行、载人行为；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★支持非机动车逆行检测功能，捕获率应≥99%；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★可对非机动车载人数量进行检测，支持输出1～3人的载人数，支持检测前向载人或后向载人；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★支持100段语音文件导入，可选定某一条语音输出；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★支持语音播报功能，播报音量1~10级可调，支持设备2个语音播报时间段，支持10条语音信息轮播。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详细技术规格：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像素：900W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分辨率：最大支持4096*2160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帧率：25fps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图像传感器：1 英寸全局曝光CMOS（GMOS）传感器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镜头：30mm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存储：支持TF卡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照度：彩色：0.01Lux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视频压缩标准：H.265/H.264/MJPEG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图像输出格式：JPEG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②信息发布模块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支持文字信息发布和语音提醒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显示屏：LED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点间距：4.75mm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像素组成：三色</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劝导机器人安装及辅材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1.工业级2光6电设备交换机；2、材料品种：接线手孔井，规格尺寸：外径1180mm，高度含井盖1350mm，100厚C15砼垫层，井盖规格为：600*600mm，钢筋水泥材质，井座规格为：940*940mm，钢筋水泥材质；3、80米电源线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RVV3*1.5mm2；4、90米光纤4 芯单模；5、2米VG50塑料管（含土方开挖、回填、渣运）</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射灯轨道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轨道及轨道安装</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党旗（灯箱）</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软膜灯箱1500*1000</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入党誓词（灯箱）</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软膜灯箱1500*1000</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回光灯带</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暖色灯带</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LED条形灯</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LED条形灯、灯具及灯具安装</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线条灯</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灯具及灯具安装</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600*600平板灯</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灯具及灯具安装、拆除灯具位置矿棉板吊顶</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风采展示墙55寸显示屏（触摸）</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55寸4K显示屏/MSD6190HB点屏板/2.0声道/300nits/前置HDMI、USB接口/20点红外触控，带壁挂架、电源线、手写笔</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功模榜触摸屏55寸</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55寸壁挂一体机，高清分辨率1920*1080：内置主机：i5/8+128G：WIN系统  产品型号 55寸L01红外壁挂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整机外形尺寸（长×宽×高） L1282xW87xH756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外箱包装尺寸（长×宽×高） L1395*W190*H890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裸机净重（KG） 23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整机毛重（KG） 29.1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壁挂架尺寸 L635xH530xT23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壁挂孔位尺寸 水平400x垂直300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壁挂螺丝规格 M8xL25x4pcs</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电子屏75寸</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屏幕分辨率4K 3840*2160 屏幕刷新率 120HZ 内存 2GB+32GB   音效处理 DTS Virtual:X HDR解码 HDR10/HLG</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宣教座椅</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椅背：全新进口PP+30%玻纤材质，耐磨透网布高弹力舒适海绵，高弹力透气坐布椅座：扶手：PA+30%玻纤，前后滑动扶手32.5*20.5*T1.5mmQ235碳素钢管脚椅架：脚执·:PA+15%玻纤</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智能交互会议屏</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75寸4K显示屏/ARM CORTEX A55*8/安卓12.0、4+32G/4800W CAM+8MIC/2.0声道/350nits/前置HDMI、USB接口/20点红外触控，带壁挂架、电源线、智能文档管理</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支持 Windows / Mac OS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2、Type-C接口即插即用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支持Wi-Fi 2.4G/5G 双频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最高支持4K分辨率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5、支持Windows反向控制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6、投屏器增加NFC模块，支持NFC投屏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7、通过投屏器可间接给电脑充电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8、支持OTA升级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9、配合海康威视会议平板一键投屏</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四代智能笔</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1.USB接口即插即用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2、支持Windows/Android系统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3、超远通讯距离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4、USB Type-C充电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5、低功耗、长续航</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落地支架</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电视显示器配套支架</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型号CC2900ep 1080P30FPS，90度视野，10倍无损变焦，1-20视频会议</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智能柜485线（带屏蔽作用）</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485线（带屏蔽作用）</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中心55寸显示单元</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3.5mm液晶拼接屏，液晶显示单元，采用工业级超窄边面板，屏幕之间拼缝仅为3.5 mm。超高亮度450 cd/m²，直下式LED背光源，显示单元亮度均匀，无边界暗影现象。具有丰富的接口，可接收DVI、HDMI等各种信号</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雪浪交警中队“百日攻坚”取得阶段性成效PPT，视频制作</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1.航拍拍摄4k，raw格式，稳定期运动机位，模特拍摄时灯光等；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2、负责全程拍摄，负责现场摄影，演出人员的化妆，负责现场灯光。3、视频后期剪辑，效果制作，解说词配音，                                                                                                    200页的汇报PPT制作；</w:t>
            </w:r>
            <w:r/>
          </w:p>
        </w:tc>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bl>
    <w:p>
      <w:pPr>
        <w:pStyle w:val="1158"/>
        <w:ind w:firstLine="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r>
      <w:r/>
    </w:p>
    <w:p>
      <w:pPr>
        <w:pStyle w:val="1158"/>
        <w:ind w:firstLine="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r>
      <w:r/>
    </w:p>
    <w:p>
      <w:pPr>
        <w:pStyle w:val="1158"/>
        <w:ind w:firstLine="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t xml:space="preserve">第三部分：</w:t>
      </w:r>
      <w:r/>
    </w:p>
    <w:tbl>
      <w:tblPr>
        <w:tblStyle w:val="757"/>
        <w:tblW w:w="96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1"/>
        <w:gridCol w:w="885"/>
        <w:gridCol w:w="3495"/>
        <w:gridCol w:w="2850"/>
        <w:gridCol w:w="650"/>
        <w:gridCol w:w="675"/>
        <w:gridCol w:w="699"/>
      </w:tblGrid>
      <w:tr>
        <w:trPr>
          <w:trHeight w:val="540"/>
        </w:trPr>
        <w:tc>
          <w:tcPr>
            <w:gridSpan w:val="7"/>
            <w:shd w:val="clear" w:color="auto" w:fill="auto"/>
            <w:tcBorders>
              <w:top w:val="none" w:color="000000" w:sz="4" w:space="0"/>
              <w:left w:val="none" w:color="000000" w:sz="4" w:space="0"/>
              <w:bottom w:val="none" w:color="000000" w:sz="4" w:space="0"/>
              <w:right w:val="none" w:color="000000" w:sz="4" w:space="0"/>
            </w:tcBorders>
            <w:tcW w:w="96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摩托车载装备</w:t>
            </w:r>
            <w:r/>
          </w:p>
        </w:tc>
      </w:tr>
      <w:tr>
        <w:trPr>
          <w:trHeight w:val="440"/>
        </w:trPr>
        <w:tc>
          <w:tcPr>
            <w:shd w:val="clear" w:color="auto" w:fill="ffffff"/>
            <w:tcBorders>
              <w:top w:val="single" w:color="000000" w:sz="8"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ffffff"/>
            <w:tcBorders>
              <w:top w:val="single" w:color="000000" w:sz="8"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ffffff"/>
            <w:tcBorders>
              <w:top w:val="single" w:color="000000" w:sz="8" w:space="0"/>
              <w:left w:val="single" w:color="000000" w:sz="4" w:space="0"/>
              <w:bottom w:val="single" w:color="000000" w:sz="4" w:space="0"/>
              <w:right w:val="single" w:color="000000" w:sz="8" w:space="0"/>
            </w:tcBorders>
            <w:tcW w:w="28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技术参数或特征描述</w:t>
            </w:r>
            <w:r/>
          </w:p>
        </w:tc>
        <w:tc>
          <w:tcPr>
            <w:shd w:val="clear" w:color="auto" w:fill="ffffff"/>
            <w:tcBorders>
              <w:top w:val="single" w:color="000000" w:sz="8"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所属行业</w:t>
            </w:r>
            <w:r/>
          </w:p>
        </w:tc>
      </w:tr>
      <w:tr>
        <w:trPr>
          <w:trHeight w:val="2000"/>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装备架</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346710</wp:posOffset>
                      </wp:positionH>
                      <wp:positionV relativeFrom="paragraph">
                        <wp:posOffset>-25400</wp:posOffset>
                      </wp:positionV>
                      <wp:extent cx="1500505" cy="1162050"/>
                      <wp:effectExtent l="0" t="0" r="4445" b="0"/>
                      <wp:wrapNone/>
                      <wp:docPr id="7" name="图片_11"/>
                      <wp:cNvGraphicFramePr/>
                      <a:graphic xmlns:a="http://schemas.openxmlformats.org/drawingml/2006/main">
                        <a:graphicData uri="http://schemas.openxmlformats.org/drawingml/2006/picture">
                          <pic:pic xmlns:pic="http://schemas.openxmlformats.org/drawingml/2006/picture">
                            <pic:nvPicPr>
                              <pic:cNvPr id="60" name="图片_11"/>
                              <pic:cNvPicPr/>
                              <pic:nvPr/>
                            </pic:nvPicPr>
                            <pic:blipFill>
                              <a:blip r:embed="rId18"/>
                              <a:stretch/>
                            </pic:blipFill>
                            <pic:spPr bwMode="auto">
                              <a:xfrm>
                                <a:off x="0" y="0"/>
                                <a:ext cx="1500504"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7.3pt;mso-position-horizontal:absolute;mso-position-vertical-relative:text;margin-top:-2.0pt;mso-position-vertical:absolute;width:118.1pt;height:91.5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可搭载小型围挡、大型围挡各一个，捆绑扎带固定</w:t>
            </w:r>
            <w:r>
              <w:rPr>
                <w:rFonts w:hint="eastAsia" w:ascii="宋体" w:hAnsi="宋体" w:eastAsia="宋体" w:cs="宋体"/>
                <w:i w:val="0"/>
                <w:iCs w:val="0"/>
                <w:color w:val="auto"/>
                <w:sz w:val="20"/>
                <w:szCs w:val="20"/>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121"/>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514350</wp:posOffset>
                      </wp:positionH>
                      <wp:positionV relativeFrom="paragraph">
                        <wp:posOffset>136525</wp:posOffset>
                      </wp:positionV>
                      <wp:extent cx="1268730" cy="1189990"/>
                      <wp:effectExtent l="0" t="0" r="7620" b="10160"/>
                      <wp:wrapNone/>
                      <wp:docPr id="8" name="图片_2"/>
                      <wp:cNvGraphicFramePr/>
                      <a:graphic xmlns:a="http://schemas.openxmlformats.org/drawingml/2006/main">
                        <a:graphicData uri="http://schemas.openxmlformats.org/drawingml/2006/picture">
                          <pic:pic xmlns:pic="http://schemas.openxmlformats.org/drawingml/2006/picture">
                            <pic:nvPicPr>
                              <pic:cNvPr id="61" name="图片_2"/>
                              <pic:cNvPicPr/>
                              <pic:nvPr/>
                            </pic:nvPicPr>
                            <pic:blipFill>
                              <a:blip r:embed="rId19"/>
                              <a:stretch/>
                            </pic:blipFill>
                            <pic:spPr bwMode="auto">
                              <a:xfrm>
                                <a:off x="0" y="0"/>
                                <a:ext cx="1268730" cy="1189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40.5pt;mso-position-horizontal:absolute;mso-position-vertical-relative:text;margin-top:10.8pt;mso-position-vertical:absolute;width:99.9pt;height:93.7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警摩款灭火器专用支架，根据警摩型号定制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水基灭火器950ml</w:t>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334"/>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大型围挡</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48260</wp:posOffset>
                      </wp:positionH>
                      <wp:positionV relativeFrom="paragraph">
                        <wp:posOffset>121285</wp:posOffset>
                      </wp:positionV>
                      <wp:extent cx="2031365" cy="1399540"/>
                      <wp:effectExtent l="0" t="0" r="6985" b="10160"/>
                      <wp:wrapNone/>
                      <wp:docPr id="9" name="图片_1"/>
                      <wp:cNvGraphicFramePr/>
                      <a:graphic xmlns:a="http://schemas.openxmlformats.org/drawingml/2006/main">
                        <a:graphicData uri="http://schemas.openxmlformats.org/drawingml/2006/picture">
                          <pic:pic xmlns:pic="http://schemas.openxmlformats.org/drawingml/2006/picture">
                            <pic:nvPicPr>
                              <pic:cNvPr id="62" name="图片_1"/>
                              <pic:cNvPicPr/>
                              <pic:nvPr/>
                            </pic:nvPicPr>
                            <pic:blipFill>
                              <a:blip r:embed="rId20"/>
                              <a:stretch/>
                            </pic:blipFill>
                            <pic:spPr bwMode="auto">
                              <a:xfrm>
                                <a:off x="0" y="0"/>
                                <a:ext cx="2031365" cy="13995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3.8pt;mso-position-horizontal:absolute;mso-position-vertical-relative:text;margin-top:9.5pt;mso-position-vertical:absolute;width:159.9pt;height:110.2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1.便携式警示围挡由警示横幅布、两根碳纤维伸缩立柱组成。配备收纳袋；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2、单根立柱由四节碳纤维杆和固定卡扣组合而成，具有密度高、耐腐蚀，质量轻，展开迅速等优点，单根立柱展开时间8.5S。（供货时验收实物符合要求）；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3、横幅布：警蓝色（h240，s74，b68，r46，g47，b174）；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4、警示横幅上部分设计有【警察执法】字样（字体：黑体、字号≥900磅，颜色：白色）及【POLICE LAW-ENFORCEMENT】字样（字体：黑体、字号≥320磅，颜色：白色）；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5、警示横幅下部分设计有【禁止靠近】【禁止拍摄】（字体：黑体、字号≥500磅，颜色：黄色）及【NO APPROACHING】【NO PHOTOGRAPH】（字体：黑体、字号≥280磅，颜色：黄色）字样；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6、警示横幅布无字空白部分有三角形开口，三角开口布料两边分开，一边和底布相连，便于空气通过，减少展开时的风阻。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7、警示横幅布与立柱固定式连接，碳纤维立柱展开时，依次将碳纤维杆拉出到固定点，由弹出卡扣固定，完全展开围挡。收纳时，依次按下固定卡扣，将碳纤维杆依次收缩。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尺寸：展开尺寸：337cm（高）*665cm（宽）；收缩后高度125cm。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便携性：收纳尺寸≤127cm*26cm*12cm，配备携带袋；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重量：4.96kg；</w:t>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6950"/>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边箱装备</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335915</wp:posOffset>
                      </wp:positionH>
                      <wp:positionV relativeFrom="paragraph">
                        <wp:posOffset>3174365</wp:posOffset>
                      </wp:positionV>
                      <wp:extent cx="1582420" cy="1004570"/>
                      <wp:effectExtent l="0" t="0" r="17780" b="5080"/>
                      <wp:wrapNone/>
                      <wp:docPr id="10" name="图片_6"/>
                      <wp:cNvGraphicFramePr/>
                      <a:graphic xmlns:a="http://schemas.openxmlformats.org/drawingml/2006/main">
                        <a:graphicData uri="http://schemas.openxmlformats.org/drawingml/2006/picture">
                          <pic:pic xmlns:pic="http://schemas.openxmlformats.org/drawingml/2006/picture">
                            <pic:nvPicPr>
                              <pic:cNvPr id="59" name="图片_6"/>
                              <pic:cNvPicPr/>
                              <pic:nvPr/>
                            </pic:nvPicPr>
                            <pic:blipFill>
                              <a:blip r:embed="rId21"/>
                              <a:stretch/>
                            </pic:blipFill>
                            <pic:spPr bwMode="auto">
                              <a:xfrm>
                                <a:off x="0" y="0"/>
                                <a:ext cx="1582420" cy="1004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26.4pt;mso-position-horizontal:absolute;mso-position-vertical-relative:text;margin-top:249.9pt;mso-position-vertical:absolute;width:124.6pt;height:79.1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413385</wp:posOffset>
                      </wp:positionH>
                      <wp:positionV relativeFrom="paragraph">
                        <wp:posOffset>2205355</wp:posOffset>
                      </wp:positionV>
                      <wp:extent cx="1426210" cy="1018540"/>
                      <wp:effectExtent l="0" t="0" r="2540" b="10160"/>
                      <wp:wrapNone/>
                      <wp:docPr id="11" name="图片_5"/>
                      <wp:cNvGraphicFramePr/>
                      <a:graphic xmlns:a="http://schemas.openxmlformats.org/drawingml/2006/main">
                        <a:graphicData uri="http://schemas.openxmlformats.org/drawingml/2006/picture">
                          <pic:pic xmlns:pic="http://schemas.openxmlformats.org/drawingml/2006/picture">
                            <pic:nvPicPr>
                              <pic:cNvPr id="51" name="图片_5"/>
                              <pic:cNvPicPr/>
                              <pic:nvPr/>
                            </pic:nvPicPr>
                            <pic:blipFill>
                              <a:blip r:embed="rId22"/>
                              <a:stretch/>
                            </pic:blipFill>
                            <pic:spPr bwMode="auto">
                              <a:xfrm>
                                <a:off x="0" y="0"/>
                                <a:ext cx="1426210" cy="1018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32.5pt;mso-position-horizontal:absolute;mso-position-vertical-relative:text;margin-top:173.7pt;mso-position-vertical:absolute;width:112.3pt;height:80.2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358140</wp:posOffset>
                      </wp:positionH>
                      <wp:positionV relativeFrom="paragraph">
                        <wp:posOffset>1107440</wp:posOffset>
                      </wp:positionV>
                      <wp:extent cx="1559560" cy="963930"/>
                      <wp:effectExtent l="0" t="0" r="2540" b="7620"/>
                      <wp:wrapNone/>
                      <wp:docPr id="12" name="图片_4"/>
                      <wp:cNvGraphicFramePr/>
                      <a:graphic xmlns:a="http://schemas.openxmlformats.org/drawingml/2006/main">
                        <a:graphicData uri="http://schemas.openxmlformats.org/drawingml/2006/picture">
                          <pic:pic xmlns:pic="http://schemas.openxmlformats.org/drawingml/2006/picture">
                            <pic:nvPicPr>
                              <pic:cNvPr id="64" name="图片_4"/>
                              <pic:cNvPicPr/>
                              <pic:nvPr/>
                            </pic:nvPicPr>
                            <pic:blipFill>
                              <a:blip r:embed="rId23"/>
                              <a:stretch/>
                            </pic:blipFill>
                            <pic:spPr bwMode="auto">
                              <a:xfrm>
                                <a:off x="0" y="0"/>
                                <a:ext cx="1559560" cy="963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28.2pt;mso-position-horizontal:absolute;mso-position-vertical-relative:text;margin-top:87.2pt;mso-position-vertical:absolute;width:122.8pt;height:75.9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378460</wp:posOffset>
                      </wp:positionH>
                      <wp:positionV relativeFrom="paragraph">
                        <wp:posOffset>-31115</wp:posOffset>
                      </wp:positionV>
                      <wp:extent cx="1508125" cy="1202690"/>
                      <wp:effectExtent l="0" t="0" r="3175" b="3810"/>
                      <wp:wrapNone/>
                      <wp:docPr id="13" name="图片_3"/>
                      <wp:cNvGraphicFramePr/>
                      <a:graphic xmlns:a="http://schemas.openxmlformats.org/drawingml/2006/main">
                        <a:graphicData uri="http://schemas.openxmlformats.org/drawingml/2006/picture">
                          <pic:pic xmlns:pic="http://schemas.openxmlformats.org/drawingml/2006/picture">
                            <pic:nvPicPr>
                              <pic:cNvPr id="63" name="图片_3"/>
                              <pic:cNvPicPr/>
                              <pic:nvPr/>
                            </pic:nvPicPr>
                            <pic:blipFill>
                              <a:blip r:embed="rId24"/>
                              <a:stretch/>
                            </pic:blipFill>
                            <pic:spPr bwMode="auto">
                              <a:xfrm>
                                <a:off x="0" y="0"/>
                                <a:ext cx="1508125" cy="1202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9.8pt;mso-position-horizontal:absolute;mso-position-vertical-relative:text;margin-top:-2.4pt;mso-position-vertical:absolute;width:118.8pt;height:94.7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上层：自动充气救生衣、救生腰带、防毒面具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底层：酒精排查棒、单警急救包、警绳、多功能钳子、防割手套</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上层：水域救援绳、隔热手套、伸缩路锥、救生绳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底层：一次性警戒带、盘式警戒带、喊话器、隔热手套、强光手电</w:t>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365"/>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尾箱套装</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721995</wp:posOffset>
                      </wp:positionH>
                      <wp:positionV relativeFrom="paragraph">
                        <wp:posOffset>52705</wp:posOffset>
                      </wp:positionV>
                      <wp:extent cx="840105" cy="1116330"/>
                      <wp:effectExtent l="0" t="0" r="17145" b="7620"/>
                      <wp:wrapNone/>
                      <wp:docPr id="14" name="图片_20"/>
                      <wp:cNvGraphicFramePr/>
                      <a:graphic xmlns:a="http://schemas.openxmlformats.org/drawingml/2006/main">
                        <a:graphicData uri="http://schemas.openxmlformats.org/drawingml/2006/picture">
                          <pic:pic xmlns:pic="http://schemas.openxmlformats.org/drawingml/2006/picture">
                            <pic:nvPicPr>
                              <pic:cNvPr id="55" name="图片_20"/>
                              <pic:cNvPicPr/>
                              <pic:nvPr/>
                            </pic:nvPicPr>
                            <pic:blipFill>
                              <a:blip r:embed="rId25"/>
                              <a:stretch/>
                            </pic:blipFill>
                            <pic:spPr bwMode="auto">
                              <a:xfrm>
                                <a:off x="0" y="0"/>
                                <a:ext cx="840105" cy="1116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56.8pt;mso-position-horizontal:absolute;mso-position-vertical-relative:text;margin-top:4.1pt;mso-position-vertical:absolute;width:66.1pt;height:87.9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467360</wp:posOffset>
                      </wp:positionH>
                      <wp:positionV relativeFrom="paragraph">
                        <wp:posOffset>1188085</wp:posOffset>
                      </wp:positionV>
                      <wp:extent cx="1283335" cy="909320"/>
                      <wp:effectExtent l="0" t="0" r="12065" b="5080"/>
                      <wp:wrapNone/>
                      <wp:docPr id="15" name="图片_8"/>
                      <wp:cNvGraphicFramePr/>
                      <a:graphic xmlns:a="http://schemas.openxmlformats.org/drawingml/2006/main">
                        <a:graphicData uri="http://schemas.openxmlformats.org/drawingml/2006/picture">
                          <pic:pic xmlns:pic="http://schemas.openxmlformats.org/drawingml/2006/picture">
                            <pic:nvPicPr>
                              <pic:cNvPr id="56" name="图片_8"/>
                              <pic:cNvPicPr/>
                              <pic:nvPr/>
                            </pic:nvPicPr>
                            <pic:blipFill>
                              <a:blip r:embed="rId26"/>
                              <a:stretch/>
                            </pic:blipFill>
                            <pic:spPr bwMode="auto">
                              <a:xfrm>
                                <a:off x="0" y="0"/>
                                <a:ext cx="1283335" cy="909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36.8pt;mso-position-horizontal:absolute;mso-position-vertical-relative:text;margin-top:93.5pt;mso-position-vertical:absolute;width:101.0pt;height:71.6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警摩定制御3款无人机尾箱及磨具</w:t>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735"/>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无人机御3 T</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122555</wp:posOffset>
                      </wp:positionH>
                      <wp:positionV relativeFrom="paragraph">
                        <wp:posOffset>-5080</wp:posOffset>
                      </wp:positionV>
                      <wp:extent cx="1937385" cy="1002665"/>
                      <wp:effectExtent l="0" t="0" r="5715" b="6985"/>
                      <wp:wrapNone/>
                      <wp:docPr id="16" name="图片_12"/>
                      <wp:cNvGraphicFramePr/>
                      <a:graphic xmlns:a="http://schemas.openxmlformats.org/drawingml/2006/main">
                        <a:graphicData uri="http://schemas.openxmlformats.org/drawingml/2006/picture">
                          <pic:pic xmlns:pic="http://schemas.openxmlformats.org/drawingml/2006/picture">
                            <pic:nvPicPr>
                              <pic:cNvPr id="58" name="图片_12"/>
                              <pic:cNvPicPr/>
                              <pic:nvPr/>
                            </pic:nvPicPr>
                            <pic:blipFill>
                              <a:blip r:embed="rId27"/>
                              <a:stretch/>
                            </pic:blipFill>
                            <pic:spPr bwMode="auto">
                              <a:xfrm>
                                <a:off x="0" y="0"/>
                                <a:ext cx="1937384" cy="1002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9.7pt;mso-position-horizontal:absolute;mso-position-vertical-relative:text;margin-top:-0.4pt;mso-position-vertical:absolute;width:152.5pt;height:79.0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含无人机保险1年，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储存卡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4G图传增强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5G云盒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三电一管+RTK</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005"/>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无人机御3 E</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87630</wp:posOffset>
                      </wp:positionH>
                      <wp:positionV relativeFrom="paragraph">
                        <wp:posOffset>132080</wp:posOffset>
                      </wp:positionV>
                      <wp:extent cx="1937385" cy="1002665"/>
                      <wp:effectExtent l="0" t="0" r="5715" b="6985"/>
                      <wp:wrapNone/>
                      <wp:docPr id="17" name="图片_13"/>
                      <wp:cNvGraphicFramePr/>
                      <a:graphic xmlns:a="http://schemas.openxmlformats.org/drawingml/2006/main">
                        <a:graphicData uri="http://schemas.openxmlformats.org/drawingml/2006/picture">
                          <pic:pic xmlns:pic="http://schemas.openxmlformats.org/drawingml/2006/picture">
                            <pic:nvPicPr>
                              <pic:cNvPr id="52" name="图片_13"/>
                              <pic:cNvPicPr/>
                              <pic:nvPr/>
                            </pic:nvPicPr>
                            <pic:blipFill>
                              <a:blip r:embed="rId27"/>
                              <a:stretch/>
                            </pic:blipFill>
                            <pic:spPr bwMode="auto">
                              <a:xfrm>
                                <a:off x="0" y="0"/>
                                <a:ext cx="1937384" cy="1002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6.9pt;mso-position-horizontal:absolute;mso-position-vertical-relative:text;margin-top:10.4pt;mso-position-vertical:absolute;width:152.5pt;height:79.0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配三电一管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DJI Care 行业无忧旗舰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保险版（Mavic3E）中国版1年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储存卡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4G图传增强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5G云盒</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2010"/>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头盔+蓝牙通讯系统+无线肩咪</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-73025</wp:posOffset>
                      </wp:positionV>
                      <wp:extent cx="1866900" cy="1152525"/>
                      <wp:effectExtent l="0" t="0" r="0" b="9525"/>
                      <wp:wrapNone/>
                      <wp:docPr id="18" name="图片_15"/>
                      <wp:cNvGraphicFramePr/>
                      <a:graphic xmlns:a="http://schemas.openxmlformats.org/drawingml/2006/main">
                        <a:graphicData uri="http://schemas.openxmlformats.org/drawingml/2006/picture">
                          <pic:pic xmlns:pic="http://schemas.openxmlformats.org/drawingml/2006/picture">
                            <pic:nvPicPr>
                              <pic:cNvPr id="54" name="图片_15"/>
                              <pic:cNvPicPr/>
                              <pic:nvPr/>
                            </pic:nvPicPr>
                            <pic:blipFill>
                              <a:blip r:embed="rId28"/>
                              <a:stretch/>
                            </pic:blipFill>
                            <pic:spPr bwMode="auto">
                              <a:xfrm>
                                <a:off x="0" y="0"/>
                                <a:ext cx="1866900"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2.2pt;mso-position-horizontal:absolute;mso-position-vertical-relative:text;margin-top:-5.8pt;mso-position-vertical:absolute;width:147.0pt;height:90.8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-1673225</wp:posOffset>
                      </wp:positionV>
                      <wp:extent cx="1868170" cy="1388745"/>
                      <wp:effectExtent l="0" t="0" r="17780" b="1905"/>
                      <wp:wrapNone/>
                      <wp:docPr id="19" name="图片_10"/>
                      <wp:cNvGraphicFramePr/>
                      <a:graphic xmlns:a="http://schemas.openxmlformats.org/drawingml/2006/main">
                        <a:graphicData uri="http://schemas.openxmlformats.org/drawingml/2006/picture">
                          <pic:pic xmlns:pic="http://schemas.openxmlformats.org/drawingml/2006/picture">
                            <pic:nvPicPr>
                              <pic:cNvPr id="57" name="图片_10"/>
                              <pic:cNvPicPr/>
                              <pic:nvPr/>
                            </pic:nvPicPr>
                            <pic:blipFill>
                              <a:blip r:embed="rId29"/>
                              <a:stretch/>
                            </pic:blipFill>
                            <pic:spPr bwMode="auto">
                              <a:xfrm>
                                <a:off x="0" y="0"/>
                                <a:ext cx="1868170" cy="1388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3.8pt;mso-position-horizontal:absolute;mso-position-vertical-relative:text;margin-top:-131.8pt;mso-position-vertical:absolute;width:147.1pt;height:109.3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蓝牙通讯系统+肩咪：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蓝牙版本： 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支持蓝牙协议： HFP, HSP,SPP,PTT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蓝牙射频等级：Class 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支持同时连接 4 路设备（对讲机，手机，遥控器，喇叭喊话器）控制语音通话麦克风类型： DSP 消噪麦克风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支持耳机：配有专用的 3.5mm 接头有线头盔耳机同时兼容各种 3.5mm 类型插头的耳机电池类型：1600mA 可充电锂电池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充电时间：约 3 小时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工作时间：约14小时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防水等级：IP54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频 率 :2.402~2.480GHz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操作温度： -15℃ ~45℃ 存储温度： -25℃ ~60℃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 PTT 遥控器：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芯片：CSR BC4 蓝牙标准 2.1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蓝牙支持蓝牙协议： SPP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蓝牙射频等级：Class 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发射功率：4dB 灵敏度：-75dB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操作使用距离：配德青蓝牙适配器 10 米频 率 :2.402~2.80GHz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通过摩托车取电，无需充电。操作温度： 15℃~45℃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存储温度：25℃~60℃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喇叭适配器：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蓝牙版本： 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支持蓝牙协议：AGHFP,AGHSP 蓝牙射频等级：Class 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发射功率：4dB 灵敏度：-75dB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操作使用距离：配德青蓝牙手咪 50 米频 率 :2.402~2.480GHz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操作温度： -15℃ ~45℃ 存储温度： -25℃ ~60℃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连接摩托车上的 12V 供电自动充电。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对讲机蓝牙适配器： 定制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芯片：BC 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支持蓝牙协议： AGHFP, SPP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蓝牙射频等级：Class 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发射功率：4dB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灵敏度：-75dB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操作使用距离：配德青蓝牙10米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频 率 :2.402~2.480GHz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操作温度： -15℃ ~45℃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存储温度： -25℃ ~60℃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头盔：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盔 型：半盔</w:t>
            </w:r>
            <w:r>
              <w:rPr>
                <w:rFonts w:hint="eastAsia" w:ascii="宋体" w:hAnsi="宋体" w:eastAsia="宋体" w:cs="宋体"/>
                <w:i w:val="0"/>
                <w:iCs w:val="0"/>
                <w:color w:val="auto"/>
                <w:sz w:val="20"/>
                <w:szCs w:val="20"/>
                <w:highlight w:val="none"/>
                <w:u w:val="none"/>
                <w:lang w:val="en-US" w:eastAsia="zh-CN" w:bidi="ar"/>
              </w:rPr>
              <w:br/>
            </w:r>
            <w:r>
              <w:rPr>
                <w:rStyle w:val="1159"/>
                <w:rFonts w:eastAsia="宋体"/>
                <w:color w:val="auto"/>
                <w:highlight w:val="none"/>
                <w:lang w:val="en-US" w:eastAsia="zh-CN" w:bidi="ar"/>
              </w:rPr>
              <w:t xml:space="preserve"></w:t>
            </w:r>
            <w:r>
              <w:rPr>
                <w:rStyle w:val="1160"/>
                <w:color w:val="auto"/>
                <w:highlight w:val="none"/>
                <w:lang w:val="en-US" w:eastAsia="zh-CN" w:bidi="ar"/>
              </w:rPr>
              <w:t xml:space="preserve"> 尺 寸：34*23*26cm</w:t>
            </w:r>
            <w:r>
              <w:rPr>
                <w:rStyle w:val="1160"/>
                <w:color w:val="auto"/>
                <w:highlight w:val="none"/>
                <w:lang w:val="en-US" w:eastAsia="zh-CN" w:bidi="ar"/>
              </w:rPr>
              <w:br/>
            </w:r>
            <w:r>
              <w:rPr>
                <w:rStyle w:val="1159"/>
                <w:rFonts w:eastAsia="宋体"/>
                <w:color w:val="auto"/>
                <w:highlight w:val="none"/>
                <w:lang w:val="en-US" w:eastAsia="zh-CN" w:bidi="ar"/>
              </w:rPr>
              <w:t xml:space="preserve"></w:t>
            </w:r>
            <w:r>
              <w:rPr>
                <w:rStyle w:val="1160"/>
                <w:color w:val="auto"/>
                <w:highlight w:val="none"/>
                <w:lang w:val="en-US" w:eastAsia="zh-CN" w:bidi="ar"/>
              </w:rPr>
              <w:t xml:space="preserve"> 材 质：ABS</w:t>
            </w:r>
            <w:r>
              <w:rPr>
                <w:rStyle w:val="1160"/>
                <w:color w:val="auto"/>
                <w:highlight w:val="none"/>
                <w:lang w:val="en-US" w:eastAsia="zh-CN" w:bidi="ar"/>
              </w:rPr>
              <w:br/>
            </w:r>
            <w:r>
              <w:rPr>
                <w:rStyle w:val="1159"/>
                <w:rFonts w:eastAsia="宋体"/>
                <w:color w:val="auto"/>
                <w:highlight w:val="none"/>
                <w:lang w:val="en-US" w:eastAsia="zh-CN" w:bidi="ar"/>
              </w:rPr>
              <w:t xml:space="preserve"></w:t>
            </w:r>
            <w:r>
              <w:rPr>
                <w:rStyle w:val="1160"/>
                <w:color w:val="auto"/>
                <w:highlight w:val="none"/>
                <w:lang w:val="en-US" w:eastAsia="zh-CN" w:bidi="ar"/>
              </w:rPr>
              <w:t xml:space="preserve"> 头 围：M(57-58CM) L(59-60CM) XL(61-62CM) XXL(63CM)XXXL(64)</w:t>
            </w:r>
            <w:r>
              <w:rPr>
                <w:rStyle w:val="1160"/>
                <w:color w:val="auto"/>
                <w:highlight w:val="none"/>
                <w:lang w:val="en-US" w:eastAsia="zh-CN" w:bidi="ar"/>
              </w:rPr>
              <w:br/>
            </w:r>
            <w:r>
              <w:rPr>
                <w:rStyle w:val="1159"/>
                <w:rFonts w:eastAsia="宋体"/>
                <w:color w:val="auto"/>
                <w:highlight w:val="none"/>
                <w:lang w:val="en-US" w:eastAsia="zh-CN" w:bidi="ar"/>
              </w:rPr>
              <w:t xml:space="preserve"></w:t>
            </w:r>
            <w:r>
              <w:rPr>
                <w:rStyle w:val="1160"/>
                <w:color w:val="auto"/>
                <w:highlight w:val="none"/>
                <w:lang w:val="en-US" w:eastAsia="zh-CN" w:bidi="ar"/>
              </w:rPr>
              <w:t xml:space="preserve"> 特 点：</w:t>
            </w:r>
            <w:r>
              <w:rPr>
                <w:rStyle w:val="1160"/>
                <w:color w:val="auto"/>
                <w:highlight w:val="none"/>
                <w:lang w:val="en-US" w:eastAsia="zh-CN" w:bidi="ar"/>
              </w:rPr>
              <w:br/>
            </w:r>
            <w:r>
              <w:rPr>
                <w:rStyle w:val="1160"/>
                <w:color w:val="auto"/>
                <w:highlight w:val="none"/>
                <w:lang w:val="en-US" w:eastAsia="zh-CN" w:bidi="ar"/>
              </w:rPr>
              <w:t xml:space="preserve">1.头盔式样：头盔为四分之三半盔，适合夏季城市出警骑行便捷安全。</w:t>
            </w:r>
            <w:r>
              <w:rPr>
                <w:rStyle w:val="1160"/>
                <w:color w:val="auto"/>
                <w:highlight w:val="none"/>
                <w:lang w:val="en-US" w:eastAsia="zh-CN" w:bidi="ar"/>
              </w:rPr>
              <w:br/>
            </w:r>
            <w:r>
              <w:rPr>
                <w:rStyle w:val="1160"/>
                <w:color w:val="auto"/>
                <w:highlight w:val="none"/>
                <w:lang w:val="en-US" w:eastAsia="zh-CN" w:bidi="ar"/>
              </w:rPr>
              <w:t xml:space="preserve">2.头盔外壳材料：材料使用 ABS 工程塑料。</w:t>
            </w:r>
            <w:r>
              <w:rPr>
                <w:rStyle w:val="1160"/>
                <w:color w:val="auto"/>
                <w:highlight w:val="none"/>
                <w:lang w:val="en-US" w:eastAsia="zh-CN" w:bidi="ar"/>
              </w:rPr>
              <w:br/>
            </w:r>
            <w:r>
              <w:rPr>
                <w:rStyle w:val="1160"/>
                <w:color w:val="auto"/>
                <w:highlight w:val="none"/>
                <w:lang w:val="en-US" w:eastAsia="zh-CN" w:bidi="ar"/>
              </w:rPr>
              <w:t xml:space="preserve">3.头盔内部材料：防护衬垫材料是聚苯乙烯泡沫（EPS）。内衬布料为弹力布+小孔皮+细</w:t>
            </w:r>
            <w:r>
              <w:rPr>
                <w:rStyle w:val="1160"/>
                <w:color w:val="auto"/>
                <w:highlight w:val="none"/>
                <w:lang w:val="en-US" w:eastAsia="zh-CN" w:bidi="ar"/>
              </w:rPr>
              <w:br/>
            </w:r>
            <w:r>
              <w:rPr>
                <w:rStyle w:val="1160"/>
                <w:color w:val="auto"/>
                <w:highlight w:val="none"/>
                <w:lang w:val="en-US" w:eastAsia="zh-CN" w:bidi="ar"/>
              </w:rPr>
              <w:t xml:space="preserve">孔网布。</w:t>
            </w:r>
            <w:r>
              <w:rPr>
                <w:rStyle w:val="1160"/>
                <w:color w:val="auto"/>
                <w:highlight w:val="none"/>
                <w:lang w:val="en-US" w:eastAsia="zh-CN" w:bidi="ar"/>
              </w:rPr>
              <w:br/>
            </w:r>
            <w:r>
              <w:rPr>
                <w:rStyle w:val="1160"/>
                <w:color w:val="auto"/>
                <w:highlight w:val="none"/>
                <w:lang w:val="en-US" w:eastAsia="zh-CN" w:bidi="ar"/>
              </w:rPr>
              <w:t xml:space="preserve">4.头盔达到的安全吸震指标：头盔外壳及防护衬垫的吸震性能达到以下指标：在-20℃～</w:t>
            </w:r>
            <w:r>
              <w:rPr>
                <w:rStyle w:val="1160"/>
                <w:color w:val="auto"/>
                <w:highlight w:val="none"/>
                <w:lang w:val="en-US" w:eastAsia="zh-CN" w:bidi="ar"/>
              </w:rPr>
              <w:br/>
            </w:r>
            <w:r>
              <w:rPr>
                <w:rStyle w:val="1160"/>
                <w:color w:val="auto"/>
                <w:highlight w:val="none"/>
                <w:lang w:val="en-US" w:eastAsia="zh-CN" w:bidi="ar"/>
              </w:rPr>
              <w:t xml:space="preserve">50℃的环境温度下、在撞击速度 7.5 米±0.15/秒时、对于正面撞击和侧面撞击的伤害指数</w:t>
            </w:r>
            <w:r>
              <w:rPr>
                <w:rStyle w:val="1160"/>
                <w:color w:val="auto"/>
                <w:highlight w:val="none"/>
                <w:lang w:val="en-US" w:eastAsia="zh-CN" w:bidi="ar"/>
              </w:rPr>
              <w:br/>
            </w:r>
            <w:r>
              <w:rPr>
                <w:rStyle w:val="1160"/>
                <w:color w:val="auto"/>
                <w:highlight w:val="none"/>
                <w:lang w:val="en-US" w:eastAsia="zh-CN" w:bidi="ar"/>
              </w:rPr>
              <w:t xml:space="preserve">HIC 值＜2500，加速峰值＜300G。</w:t>
            </w:r>
            <w:r>
              <w:rPr>
                <w:rStyle w:val="1160"/>
                <w:color w:val="auto"/>
                <w:highlight w:val="none"/>
                <w:lang w:val="en-US" w:eastAsia="zh-CN" w:bidi="ar"/>
              </w:rPr>
              <w:br/>
            </w:r>
            <w:r>
              <w:rPr>
                <w:rStyle w:val="1160"/>
                <w:color w:val="auto"/>
                <w:highlight w:val="none"/>
                <w:lang w:val="en-US" w:eastAsia="zh-CN" w:bidi="ar"/>
              </w:rPr>
              <w:t xml:space="preserve">5.头盔镜片材料：PC 材质，透明、防晒抗划伤硬化涂层。</w:t>
            </w:r>
            <w:r>
              <w:rPr>
                <w:rStyle w:val="1160"/>
                <w:color w:val="auto"/>
                <w:highlight w:val="none"/>
                <w:lang w:val="en-US" w:eastAsia="zh-CN" w:bidi="ar"/>
              </w:rPr>
              <w:br/>
            </w:r>
            <w:r>
              <w:rPr>
                <w:rStyle w:val="1160"/>
                <w:color w:val="auto"/>
                <w:highlight w:val="none"/>
                <w:lang w:val="en-US" w:eastAsia="zh-CN" w:bidi="ar"/>
              </w:rPr>
              <w:t xml:space="preserve">产品档案</w:t>
            </w:r>
            <w:r>
              <w:rPr>
                <w:rStyle w:val="1160"/>
                <w:color w:val="auto"/>
                <w:highlight w:val="none"/>
                <w:lang w:val="en-US" w:eastAsia="zh-CN" w:bidi="ar"/>
              </w:rPr>
              <w:br/>
            </w:r>
            <w:r>
              <w:rPr>
                <w:rStyle w:val="1159"/>
                <w:rFonts w:eastAsia="宋体"/>
                <w:color w:val="auto"/>
                <w:highlight w:val="none"/>
                <w:lang w:val="en-US" w:eastAsia="zh-CN" w:bidi="ar"/>
              </w:rPr>
              <w:t xml:space="preserve"></w:t>
            </w:r>
            <w:r>
              <w:rPr>
                <w:rStyle w:val="1160"/>
                <w:color w:val="auto"/>
                <w:highlight w:val="none"/>
                <w:lang w:val="en-US" w:eastAsia="zh-CN" w:bidi="ar"/>
              </w:rPr>
              <w:t xml:space="preserve"> 特 点：</w:t>
            </w:r>
            <w:r>
              <w:rPr>
                <w:rStyle w:val="1160"/>
                <w:color w:val="auto"/>
                <w:highlight w:val="none"/>
                <w:lang w:val="en-US" w:eastAsia="zh-CN" w:bidi="ar"/>
              </w:rPr>
              <w:br/>
            </w:r>
            <w:r>
              <w:rPr>
                <w:rStyle w:val="1160"/>
                <w:color w:val="auto"/>
                <w:highlight w:val="none"/>
                <w:lang w:val="en-US" w:eastAsia="zh-CN" w:bidi="ar"/>
              </w:rPr>
              <w:t xml:space="preserve">6.头盔镜片视野指标：左右视野能见度＞100°，上部能见度≥7°，下部能见度＞45°。</w:t>
            </w:r>
            <w:r>
              <w:rPr>
                <w:rStyle w:val="1160"/>
                <w:color w:val="auto"/>
                <w:highlight w:val="none"/>
                <w:lang w:val="en-US" w:eastAsia="zh-CN" w:bidi="ar"/>
              </w:rPr>
              <w:br/>
            </w:r>
            <w:r>
              <w:rPr>
                <w:rStyle w:val="1160"/>
                <w:color w:val="auto"/>
                <w:highlight w:val="none"/>
                <w:lang w:val="en-US" w:eastAsia="zh-CN" w:bidi="ar"/>
              </w:rPr>
              <w:t xml:space="preserve">7.头盔内置小镜片系统：小镜片防刮防雾，易拆卸易清洁，能够有效抵抗紫外线。</w:t>
            </w:r>
            <w:r>
              <w:rPr>
                <w:rStyle w:val="1160"/>
                <w:color w:val="auto"/>
                <w:highlight w:val="none"/>
                <w:lang w:val="en-US" w:eastAsia="zh-CN" w:bidi="ar"/>
              </w:rPr>
              <w:br/>
            </w:r>
            <w:r>
              <w:rPr>
                <w:rStyle w:val="1160"/>
                <w:color w:val="auto"/>
                <w:highlight w:val="none"/>
                <w:lang w:val="en-US" w:eastAsia="zh-CN" w:bidi="ar"/>
              </w:rPr>
              <w:t xml:space="preserve">8.头盔通风系统：头盔在前部有进风口，在盔体后部有出风口。可在头盔内部形成空气</w:t>
            </w:r>
            <w:r>
              <w:rPr>
                <w:rStyle w:val="1160"/>
                <w:color w:val="auto"/>
                <w:highlight w:val="none"/>
                <w:lang w:val="en-US" w:eastAsia="zh-CN" w:bidi="ar"/>
              </w:rPr>
              <w:br/>
            </w:r>
            <w:r>
              <w:rPr>
                <w:rStyle w:val="1160"/>
                <w:color w:val="auto"/>
                <w:highlight w:val="none"/>
                <w:lang w:val="en-US" w:eastAsia="zh-CN" w:bidi="ar"/>
              </w:rPr>
              <w:t xml:space="preserve">流通。</w:t>
            </w:r>
            <w:r>
              <w:rPr>
                <w:rStyle w:val="1160"/>
                <w:color w:val="auto"/>
                <w:highlight w:val="none"/>
                <w:lang w:val="en-US" w:eastAsia="zh-CN" w:bidi="ar"/>
              </w:rPr>
              <w:br/>
            </w:r>
            <w:r>
              <w:rPr>
                <w:rStyle w:val="1160"/>
                <w:color w:val="auto"/>
                <w:highlight w:val="none"/>
                <w:lang w:val="en-US" w:eastAsia="zh-CN" w:bidi="ar"/>
              </w:rPr>
              <w:t xml:space="preserve">9.头盔内胆材料：头盔内胆使用透气排汗面料缝制，内胆能够拆卸清洗。</w:t>
            </w:r>
            <w:r>
              <w:rPr>
                <w:rStyle w:val="1160"/>
                <w:color w:val="auto"/>
                <w:highlight w:val="none"/>
                <w:lang w:val="en-US" w:eastAsia="zh-CN" w:bidi="ar"/>
              </w:rPr>
              <w:br/>
            </w:r>
            <w:r>
              <w:rPr>
                <w:rStyle w:val="1160"/>
                <w:color w:val="auto"/>
                <w:highlight w:val="none"/>
                <w:lang w:val="en-US" w:eastAsia="zh-CN" w:bidi="ar"/>
              </w:rPr>
              <w:t xml:space="preserve">10.头盔护耳上预留耳机凹槽，以便安装警用通讯系统。</w:t>
            </w:r>
            <w:r>
              <w:rPr>
                <w:rStyle w:val="1160"/>
                <w:color w:val="auto"/>
                <w:highlight w:val="none"/>
                <w:lang w:val="en-US" w:eastAsia="zh-CN" w:bidi="ar"/>
              </w:rPr>
              <w:br/>
            </w:r>
            <w:r>
              <w:rPr>
                <w:rStyle w:val="1160"/>
                <w:color w:val="auto"/>
                <w:highlight w:val="none"/>
                <w:lang w:val="en-US" w:eastAsia="zh-CN" w:bidi="ar"/>
              </w:rPr>
              <w:t xml:space="preserve">11.头盔正中安放警徽标志，警徽标志材质为防水贴花</w:t>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蓝牙通讯系统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8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1.双PTT无线遥控，可同时连接2路蓝牙语音设备，如对讲机和手机。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-1935480</wp:posOffset>
                      </wp:positionH>
                      <wp:positionV relativeFrom="paragraph">
                        <wp:posOffset>-256540</wp:posOffset>
                      </wp:positionV>
                      <wp:extent cx="1379220" cy="1203325"/>
                      <wp:effectExtent l="0" t="0" r="11430" b="15875"/>
                      <wp:wrapNone/>
                      <wp:docPr id="20" name="图片_14"/>
                      <wp:cNvGraphicFramePr/>
                      <a:graphic xmlns:a="http://schemas.openxmlformats.org/drawingml/2006/main">
                        <a:graphicData uri="http://schemas.openxmlformats.org/drawingml/2006/picture">
                          <pic:pic xmlns:pic="http://schemas.openxmlformats.org/drawingml/2006/picture">
                            <pic:nvPicPr>
                              <pic:cNvPr id="53" name="图片_14"/>
                              <pic:cNvPicPr/>
                              <pic:nvPr/>
                            </pic:nvPicPr>
                            <pic:blipFill>
                              <a:blip r:embed="rId30"/>
                              <a:stretch/>
                            </pic:blipFill>
                            <pic:spPr bwMode="auto">
                              <a:xfrm>
                                <a:off x="0" y="0"/>
                                <a:ext cx="1379220" cy="1203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152.4pt;mso-position-horizontal:absolute;mso-position-vertical-relative:text;margin-top:-20.2pt;mso-position-vertical:absolute;width:108.6pt;height:94.8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2、两路语音设备可同时听、分别讲、相互保密。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3、超强麦克风降噪，防啸叫功能。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4、双耳轮换佩戴，减少用耳疲劳</w:t>
            </w:r>
            <w:r/>
          </w:p>
        </w:tc>
        <w:tc>
          <w:tcPr>
            <w:shd w:val="clear" w:color="auto" w:fill="auto"/>
            <w:tcBorders>
              <w:top w:val="single" w:color="000000" w:sz="4" w:space="0"/>
              <w:left w:val="single" w:color="000000" w:sz="4" w:space="0"/>
              <w:bottom w:val="single" w:color="000000" w:sz="4" w:space="0"/>
              <w:right w:val="single" w:color="000000" w:sz="8"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bl>
    <w:p>
      <w:pPr>
        <w:pStyle w:val="1158"/>
        <w:ind w:firstLine="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r>
      <w:r/>
    </w:p>
    <w:p>
      <w:pPr>
        <w:pStyle w:val="1158"/>
        <w:ind w:firstLine="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r>
      <w:r/>
    </w:p>
    <w:p>
      <w:pPr>
        <w:pStyle w:val="1158"/>
        <w:ind w:firstLine="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rPr>
        <w:t xml:space="preserve">第四部分：</w:t>
      </w:r>
      <w:r/>
    </w:p>
    <w:tbl>
      <w:tblPr>
        <w:tblStyle w:val="757"/>
        <w:tblW w:w="96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5"/>
        <w:gridCol w:w="858"/>
        <w:gridCol w:w="2948"/>
        <w:gridCol w:w="3414"/>
        <w:gridCol w:w="674"/>
        <w:gridCol w:w="663"/>
        <w:gridCol w:w="663"/>
      </w:tblGrid>
      <w:tr>
        <w:trPr>
          <w:trHeight w:val="255"/>
        </w:trPr>
        <w:tc>
          <w:tcPr>
            <w:gridSpan w:val="7"/>
            <w:shd w:val="clear" w:color="auto" w:fill="auto"/>
            <w:tcBorders>
              <w:top w:val="none" w:color="000000" w:sz="4" w:space="0"/>
              <w:left w:val="none" w:color="000000" w:sz="4" w:space="0"/>
              <w:bottom w:val="none" w:color="000000" w:sz="4" w:space="0"/>
              <w:right w:val="none" w:color="000000" w:sz="4" w:space="0"/>
            </w:tcBorders>
            <w:tcW w:w="9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警车车载装备</w:t>
            </w:r>
            <w:r/>
          </w:p>
        </w:tc>
      </w:tr>
      <w:tr>
        <w:trPr>
          <w:trHeight w:val="240"/>
        </w:trPr>
        <w:tc>
          <w:tcPr>
            <w:shd w:val="clear" w:color="auto" w:fill="ffffff"/>
            <w:tcBorders>
              <w:top w:val="single" w:color="000000" w:sz="8"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ffffff"/>
            <w:tcBorders>
              <w:top w:val="single" w:color="000000" w:sz="8"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ffffff"/>
            <w:tcBorders>
              <w:top w:val="single" w:color="000000" w:sz="8" w:space="0"/>
              <w:left w:val="single" w:color="000000" w:sz="4" w:space="0"/>
              <w:bottom w:val="single" w:color="000000" w:sz="4" w:space="0"/>
              <w:right w:val="single" w:color="000000" w:sz="8" w:space="0"/>
            </w:tcBorders>
            <w:tcW w:w="34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技术参数或特征描述</w:t>
            </w:r>
            <w:r/>
          </w:p>
        </w:tc>
        <w:tc>
          <w:tcPr>
            <w:shd w:val="clear" w:color="auto" w:fill="ffffff"/>
            <w:tcBorders>
              <w:top w:val="single" w:color="000000" w:sz="8"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所属行业</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智能声光预警系统</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375920</wp:posOffset>
                      </wp:positionH>
                      <wp:positionV relativeFrom="paragraph">
                        <wp:posOffset>59690</wp:posOffset>
                      </wp:positionV>
                      <wp:extent cx="1132205" cy="1252220"/>
                      <wp:effectExtent l="0" t="0" r="10795" b="5080"/>
                      <wp:wrapNone/>
                      <wp:docPr id="21" name="图片_12"/>
                      <wp:cNvGraphicFramePr/>
                      <a:graphic xmlns:a="http://schemas.openxmlformats.org/drawingml/2006/main">
                        <a:graphicData uri="http://schemas.openxmlformats.org/drawingml/2006/picture">
                          <pic:pic xmlns:pic="http://schemas.openxmlformats.org/drawingml/2006/picture">
                            <pic:nvPicPr>
                              <pic:cNvPr id="99" name="图片_12"/>
                              <pic:cNvPicPr/>
                              <pic:nvPr/>
                            </pic:nvPicPr>
                            <pic:blipFill>
                              <a:blip r:embed="rId31"/>
                              <a:stretch/>
                            </pic:blipFill>
                            <pic:spPr bwMode="auto">
                              <a:xfrm>
                                <a:off x="0" y="0"/>
                                <a:ext cx="1132205"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29.6pt;mso-position-horizontal:absolute;mso-position-vertical-relative:text;margin-top:4.7pt;mso-position-vertical:absolute;width:89.1pt;height:98.6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具有雷达探测来车报警功能，三面爆闪红蓝警示灯，同时带一键报警音、语音播放功能。使用方式支持侧面挂在高速公路护栏上和直接放在路面使用。适用于事故现场、施工路段、隧道口、高速弯道处，起到预警作用，提醒车辆行人减速慢行，注意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1、箱体尺寸：小于等于250*260*490mm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2、采用镀锌钣金外壳，设备顶部应具有伸缩拉杆设计，设备底部应设有滚轮设计，在现场可随意拖拽，使用方便。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3、设备采用≥14个超高亮度红蓝爆闪警示灯。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4、采用200W大功率警报器，户外语音播报效果极佳。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5、设备应左右侧面各有一个侧挂支架，可根据现场需求进行悬挂。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6、内置≥30AH锂电池。外部应设有电量显示屏，可随时了解电量值，方便设备在低电量情况下能够及时充电，额定电压DC12V。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7、设备具有一键开关功能，减轻现场人员复杂的工作。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8、设备支持根据不同的用户单位或应用场景进行警示语音定制。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9、设备具备智能探测雷达，雷达频率24.15GHz，探测距离可达200米。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10、设备具备LED显示屏，采用P10单红单元板显示屏，可根据客户需求进行定制滚动文字，现场调节。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11、防护等级：≥IP65 。</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60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现场勘查箱</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662940</wp:posOffset>
                      </wp:positionH>
                      <wp:positionV relativeFrom="paragraph">
                        <wp:posOffset>63500</wp:posOffset>
                      </wp:positionV>
                      <wp:extent cx="807720" cy="1005205"/>
                      <wp:effectExtent l="0" t="0" r="11430" b="4445"/>
                      <wp:wrapNone/>
                      <wp:docPr id="22" name="图片_14"/>
                      <wp:cNvGraphicFramePr/>
                      <a:graphic xmlns:a="http://schemas.openxmlformats.org/drawingml/2006/main">
                        <a:graphicData uri="http://schemas.openxmlformats.org/drawingml/2006/picture">
                          <pic:pic xmlns:pic="http://schemas.openxmlformats.org/drawingml/2006/picture">
                            <pic:nvPicPr>
                              <pic:cNvPr id="104" name="图片_14"/>
                              <pic:cNvPicPr/>
                              <pic:nvPr/>
                            </pic:nvPicPr>
                            <pic:blipFill>
                              <a:blip r:embed="rId32"/>
                              <a:stretch/>
                            </pic:blipFill>
                            <pic:spPr bwMode="auto">
                              <a:xfrm>
                                <a:off x="0" y="0"/>
                                <a:ext cx="807720"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52.2pt;mso-position-horizontal:absolute;mso-position-vertical-relative:text;margin-top:5.0pt;mso-position-vertical:absolute;width:63.6pt;height:79.1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多功能静电吸附器 1套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静电取迹塑料卷膜 4卷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静电取迹塑料平膜 10张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静电铝板 2块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 勘查电筒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 二用紫外灯 1只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指纹捺印盒 1盒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 掌纹捺印盒 1盒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 指纹胶带 1卷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 掌纹胶带 1卷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 贮粉式指纹刷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 磁性指纹刷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 圆形指纹毛刷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 扁形指纹毛刷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 纤维刷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 金   粉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 银   粉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 黑色磁性粉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 红色荧光粉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 黄色荧光粉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 指纹捺印纸 1本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 白色掌纹衬底 1本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 黑色掌纹衬底 1本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24 502显现剂 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25 定性滤纸 1袋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26 洗耳球 1只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27 放大镜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 羊角锤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29 塑柄凿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30 多用工具钳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31 数显测电笔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 剪  刀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33 五米钢卷尺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34 直头镊子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35 尖头镊子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36 指北针 1只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37 文具盒 1只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38 特种铅笔 2支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39 绘图铅笔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40 绘图橡皮 1块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41 美工刀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42 记录笔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43 记号笔 2支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44 现场记录本 1本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45 照相比例尺 1袋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46 塑料物证袋 10只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47 纸质物证袋 10只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48 汗布手套 2付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49 乳胶手套 2付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50 毛   巾 1条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51 铝合金箱 1只</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714"/>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涉水涉火救援箱</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481330</wp:posOffset>
                      </wp:positionH>
                      <wp:positionV relativeFrom="paragraph">
                        <wp:posOffset>22225</wp:posOffset>
                      </wp:positionV>
                      <wp:extent cx="977265" cy="753110"/>
                      <wp:effectExtent l="0" t="0" r="13335" b="8890"/>
                      <wp:wrapNone/>
                      <wp:docPr id="23" name="图片_16"/>
                      <wp:cNvGraphicFramePr/>
                      <a:graphic xmlns:a="http://schemas.openxmlformats.org/drawingml/2006/main">
                        <a:graphicData uri="http://schemas.openxmlformats.org/drawingml/2006/picture">
                          <pic:pic xmlns:pic="http://schemas.openxmlformats.org/drawingml/2006/picture">
                            <pic:nvPicPr>
                              <pic:cNvPr id="101" name="图片_16"/>
                              <pic:cNvPicPr/>
                              <pic:nvPr/>
                            </pic:nvPicPr>
                            <pic:blipFill>
                              <a:blip r:embed="rId33"/>
                              <a:stretch/>
                            </pic:blipFill>
                            <pic:spPr bwMode="auto">
                              <a:xfrm>
                                <a:off x="0" y="0"/>
                                <a:ext cx="977265"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37.9pt;mso-position-horizontal:absolute;mso-position-vertical-relative:text;margin-top:1.8pt;mso-position-vertical:absolute;width:77.0pt;height:59.3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定制外箱及磨具，含水上救援绳、灭火器、充气救生圈、充气救生衣、灭火球、水基灭火器、破玻器、气溶胶灭火器、安全绳各一</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552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警用约束叉</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79375</wp:posOffset>
                      </wp:positionH>
                      <wp:positionV relativeFrom="paragraph">
                        <wp:posOffset>20955</wp:posOffset>
                      </wp:positionV>
                      <wp:extent cx="1647190" cy="839470"/>
                      <wp:effectExtent l="0" t="0" r="10160" b="17780"/>
                      <wp:wrapNone/>
                      <wp:docPr id="24" name="图片_24"/>
                      <wp:cNvGraphicFramePr/>
                      <a:graphic xmlns:a="http://schemas.openxmlformats.org/drawingml/2006/main">
                        <a:graphicData uri="http://schemas.openxmlformats.org/drawingml/2006/picture">
                          <pic:pic xmlns:pic="http://schemas.openxmlformats.org/drawingml/2006/picture">
                            <pic:nvPicPr>
                              <pic:cNvPr id="102" name="图片_24"/>
                              <pic:cNvPicPr/>
                              <pic:nvPr/>
                            </pic:nvPicPr>
                            <pic:blipFill>
                              <a:blip r:embed="rId34"/>
                              <a:stretch/>
                            </pic:blipFill>
                            <pic:spPr bwMode="auto">
                              <a:xfrm>
                                <a:off x="0" y="0"/>
                                <a:ext cx="1647190" cy="839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6.2pt;mso-position-horizontal:absolute;mso-position-vertical-relative:text;margin-top:1.6pt;mso-position-vertical:absolute;width:129.7pt;height:66.1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1.整机净重2.20kg；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2、月牙环最大开启距离为250±10mm ；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3、月牙环闭合圆最小宽度为120±5mm ；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4、手持握杆直径为Φ33.0mm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5、最小工作长度为1236mm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6、最大工作长度为2008mm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7、月牙环闭合力不大于50N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8、最小工作长度时可承受的加长杆拔出力不小于600N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9、最大工作长度时可承受的加长杆拔出力不小于1200N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10、最大工作长度时可承受的加长杆退回力不小于1200N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11、最大工作长度时，在长度方向的中点可承受的弯曲力不小于600N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12、最小工作长度与最大工作长度的伸缩状态转换时间：2.28S。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13、执行标准：符合《GA/T 1145-2014 警用约束叉》产品技术标准要求。</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6024"/>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警用臂盾</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-238760</wp:posOffset>
                      </wp:positionV>
                      <wp:extent cx="1796415" cy="569595"/>
                      <wp:effectExtent l="0" t="0" r="13335" b="1905"/>
                      <wp:wrapNone/>
                      <wp:docPr id="25" name="ID_242F332C96BF477895E3160073D3C220"/>
                      <wp:cNvGraphicFramePr/>
                      <a:graphic xmlns:a="http://schemas.openxmlformats.org/drawingml/2006/main">
                        <a:graphicData uri="http://schemas.openxmlformats.org/drawingml/2006/picture">
                          <pic:pic xmlns:pic="http://schemas.openxmlformats.org/drawingml/2006/picture">
                            <pic:nvPicPr>
                              <pic:cNvPr id="97" name="ID_242F332C96BF477895E3160073D3C220"/>
                              <pic:cNvPicPr/>
                              <pic:nvPr/>
                            </pic:nvPicPr>
                            <pic:blipFill>
                              <a:blip r:embed="rId35"/>
                              <a:stretch/>
                            </pic:blipFill>
                            <pic:spPr bwMode="auto">
                              <a:xfrm>
                                <a:off x="0" y="0"/>
                                <a:ext cx="179641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3.8pt;mso-position-horizontal:absolute;mso-position-vertical-relative:text;margin-top:-18.8pt;mso-position-vertical:absolute;width:141.4pt;height:44.8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1.臂盾上端设有缺口，可作为视线口或枪支射击口；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2、臂盾握把为铝制握把，高度65mm，宽度120mm，握把安装后的倾斜度为6°，符合人体工程学，便于左手持握；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3、重量：1.97kg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4、尺寸：长692mm×宽297mm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5、臂盾光源开关为植入式，内置于握把侧方，当使用者左手握上握把之后，光源开关与左手拇指之间的距离为20mm，便于使用者一手操控；同时还设有充电孔，无需担心电量问题。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6、握把连接强度：握把与盾体间的连接能承受500N的拉力。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护臂套固定部（底板）采用聚氨酯弹性涂膜材料，可有效分散抗击力道；固定部右下角设有小袋，用于放置破窗头；护臂套自由端部采用莱卡布料，其良好的伸缩性能，相较于普通窄扣带，可极大减少使用者因长时间佩戴所带给手臂的影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8、臂带连接强度：臂带搭合好后，臂带与盾体间的连接能承受500N的拉力。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臂带采用高强度耐水、抗老化、阻燃固定带。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9、耐冲击强度：盾体能承受147J动能的冲击。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10、破窗器由破窗头座与破窗头组成，破窗头座安装于臂盾上端缺口两侧的弧形凸处背面，可快速装卸破窗头；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11、耐穿刺性能：盾体能承受147J动能的穿刺。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12、破窗器的材质为特种钨钢，拥有犀利的破窗功能。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13、盾牌装有优质LED灯，具有照明、炫目两大功能，照明：139流明，照明持续时间长达6小时，使得在夜晚作战更加便捷。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14、高、低温耐击打强度：盾体经高低温（—30℃--＋55℃）4小时处理后，5min内耐击打强度符合要求。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15、耐击打强度：能承受击打试验机的击打，击打点线速度为18m/s±0.3m/s，击打能量为342J±13J，击打后盾体没有破碎也没有出现长度大于50mm的裂纹。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16、执行标准：产品通过“公安部安全与警用电子产品质量检测中心”的检测，符合《GA 422-2008防暴盾牌》和《Q/AH01-2016 ZSBD-AH型战术臂式盾牌》标准。</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粘贴式约束带</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145415</wp:posOffset>
                      </wp:positionH>
                      <wp:positionV relativeFrom="paragraph">
                        <wp:posOffset>-174625</wp:posOffset>
                      </wp:positionV>
                      <wp:extent cx="1366520" cy="1203960"/>
                      <wp:effectExtent l="0" t="0" r="5080" b="15240"/>
                      <wp:wrapNone/>
                      <wp:docPr id="26" name="图片_40"/>
                      <wp:cNvGraphicFramePr/>
                      <a:graphic xmlns:a="http://schemas.openxmlformats.org/drawingml/2006/main">
                        <a:graphicData uri="http://schemas.openxmlformats.org/drawingml/2006/picture">
                          <pic:pic xmlns:pic="http://schemas.openxmlformats.org/drawingml/2006/picture">
                            <pic:nvPicPr>
                              <pic:cNvPr id="105" name="图片_40"/>
                              <pic:cNvPicPr/>
                              <pic:nvPr/>
                            </pic:nvPicPr>
                            <pic:blipFill>
                              <a:blip r:embed="rId36"/>
                              <a:stretch/>
                            </pic:blipFill>
                            <pic:spPr bwMode="auto">
                              <a:xfrm>
                                <a:off x="0" y="0"/>
                                <a:ext cx="1366520" cy="1203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11.4pt;mso-position-horizontal:absolute;mso-position-vertical-relative:text;margin-top:-13.8pt;mso-position-vertical:absolute;width:107.6pt;height:94.8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产品规格：上身束缚带长度1500mm±50mm，宽度300mm±10mm，辅助双绑绳长3400mm±50mm，宽25mm±5mm，下身绑腿束缚带长1000mm±50mm，宽100mm±10mm，辅助双绑绳长1600mm±50mm，宽25mm5±mm。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重量：总重量1100g±10g，其中上身约束带重930g10±10g，腿部约束带重165g±10g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锦丝搭扣带扣合强度：锦丝搭扣带扣合强度不小于10N/CM㎡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抗拉强度实验：上身束缚带在承受3000N的静拉力后，不出现带体断裂现象，下身绑腿束缚带在承受2500N的静拉力后，不出现带体断裂现象。</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塑料手铐</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289560</wp:posOffset>
                      </wp:positionH>
                      <wp:positionV relativeFrom="paragraph">
                        <wp:posOffset>22860</wp:posOffset>
                      </wp:positionV>
                      <wp:extent cx="1053465" cy="918210"/>
                      <wp:effectExtent l="0" t="0" r="13335" b="15240"/>
                      <wp:wrapNone/>
                      <wp:docPr id="27" name="图片_38"/>
                      <wp:cNvGraphicFramePr/>
                      <a:graphic xmlns:a="http://schemas.openxmlformats.org/drawingml/2006/main">
                        <a:graphicData uri="http://schemas.openxmlformats.org/drawingml/2006/picture">
                          <pic:pic xmlns:pic="http://schemas.openxmlformats.org/drawingml/2006/picture">
                            <pic:nvPicPr>
                              <pic:cNvPr id="103" name="图片_38"/>
                              <pic:cNvPicPr/>
                              <pic:nvPr/>
                            </pic:nvPicPr>
                            <pic:blipFill>
                              <a:blip r:embed="rId37"/>
                              <a:stretch/>
                            </pic:blipFill>
                            <pic:spPr bwMode="auto">
                              <a:xfrm>
                                <a:off x="0" y="0"/>
                                <a:ext cx="1053465" cy="9182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22.8pt;mso-position-horizontal:absolute;mso-position-vertical-relative:text;margin-top:1.8pt;mso-position-vertical:absolute;width:83.0pt;height:72.3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1.材质：尼龙；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2、带有锁定功能，人力不可脱逃；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3、重量轻，体积小，方便携带，适装载于战术背心MOLLE战术系统；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4、尺寸：52cm。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5、可重复使用</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16"/>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抛投式阻车路障</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1.外壳材质聚乙烯（PE）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2、外形长度45cm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3、工作温度-20度-60度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4、支架材质聚苯乙烯（EPR）</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5、支架数量4个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-1903730</wp:posOffset>
                      </wp:positionH>
                      <wp:positionV relativeFrom="paragraph">
                        <wp:posOffset>75565</wp:posOffset>
                      </wp:positionV>
                      <wp:extent cx="1838960" cy="802640"/>
                      <wp:effectExtent l="0" t="0" r="8890" b="16510"/>
                      <wp:wrapNone/>
                      <wp:docPr id="28" name="图片_25"/>
                      <wp:cNvGraphicFramePr/>
                      <a:graphic xmlns:a="http://schemas.openxmlformats.org/drawingml/2006/main">
                        <a:graphicData uri="http://schemas.openxmlformats.org/drawingml/2006/picture">
                          <pic:pic xmlns:pic="http://schemas.openxmlformats.org/drawingml/2006/picture">
                            <pic:nvPicPr>
                              <pic:cNvPr id="100" name="图片_25"/>
                              <pic:cNvPicPr/>
                              <pic:nvPr/>
                            </pic:nvPicPr>
                            <pic:blipFill>
                              <a:blip r:embed="rId38"/>
                              <a:stretch/>
                            </pic:blipFill>
                            <pic:spPr bwMode="auto">
                              <a:xfrm>
                                <a:off x="0" y="0"/>
                                <a:ext cx="1838960"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149.9pt;mso-position-horizontal:absolute;mso-position-vertical-relative:text;margin-top:5.9pt;mso-position-vertical:absolute;width:144.8pt;height:63.2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6、钢钉尺寸M568mm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7、钢钉数量42个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8、钢钉夹角60度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9、钢钉间距61.5±1mm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10、发泡块材质聚氨酯软泡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11、发泡块数量13个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12、重量0.6KG</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563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多功能指挥棒</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92710</wp:posOffset>
                      </wp:positionH>
                      <wp:positionV relativeFrom="paragraph">
                        <wp:posOffset>-78105</wp:posOffset>
                      </wp:positionV>
                      <wp:extent cx="1313815" cy="1297940"/>
                      <wp:effectExtent l="0" t="0" r="635" b="16510"/>
                      <wp:wrapNone/>
                      <wp:docPr id="29" name="ID_BFDDA412FE464CEA9349EC30F44C43C2"/>
                      <wp:cNvGraphicFramePr/>
                      <a:graphic xmlns:a="http://schemas.openxmlformats.org/drawingml/2006/main">
                        <a:graphicData uri="http://schemas.openxmlformats.org/drawingml/2006/picture">
                          <pic:pic xmlns:pic="http://schemas.openxmlformats.org/drawingml/2006/picture">
                            <pic:nvPicPr>
                              <pic:cNvPr id="106" name="ID_BFDDA412FE464CEA9349EC30F44C43C2"/>
                              <pic:cNvPicPr/>
                              <pic:nvPr/>
                            </pic:nvPicPr>
                            <pic:blipFill>
                              <a:blip r:embed="rId39"/>
                              <a:stretch/>
                            </pic:blipFill>
                            <pic:spPr bwMode="auto">
                              <a:xfrm>
                                <a:off x="0" y="0"/>
                                <a:ext cx="1313815" cy="1297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7.3pt;mso-position-horizontal:absolute;mso-position-vertical-relative:text;margin-top:-6.1pt;mso-position-vertical:absolute;width:103.4pt;height:102.2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1）光警示指标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（1）工作模式：具有强光、弱光、爆闪、SOS光信号四种模式。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（2）交通指挥功能：将手电主体和闪光棒组合，可实现强弱光可变的交通指挥功能。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（3）爆闪警示锥功能：将手电主体、闪光棒和扩音罩组合，可实现爆闪式警示作用。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（4）光照度：强光模式 ≥600Lx，弱光模式 ≥60Lx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（5）光源： LED （白光）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（6）爆闪光周期：9.1Hz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SOS光周期： 亮 1 ms 灭 1 ms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（8）工作时间： 强光模式 ≥3.5h，弱光模式 ≥12h，爆闪模式 ≥14h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2）声警示指标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（1）声警报功能：手电主体可发出警报声。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（2）警报声级： ≥ 130 dB （扩音罩正前方1m处）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（3）扩音功能：可将手电主体拾取声音进行扩音。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（4）扩音声压级： ≥ 1米处测试声压为原声音的1.3倍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（5）音频响应： 300Hz ～ 3kHz参考 ，GA883-2010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（6）录音时间： 2 min（超出时自动覆盖原先的录音文件）。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（7）循环播放：可循环播放存储卡内的声音文件。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（8）工作时间： ≥3.5h（-20℃～40℃）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3）通用指标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 3.7V锂电池，充电时间： ≤ 4h，体积：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手电主体：长185±1，筒身直径25±1，筒头直径43±1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闪光棒：  长185±1，上部直径32±1，下部直径23±1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扩音罩：  长53±1，上部直径为80±1，下部直径42±1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（4）重量：≤345g</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80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警戒带</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131445</wp:posOffset>
                      </wp:positionH>
                      <wp:positionV relativeFrom="paragraph">
                        <wp:posOffset>-198755</wp:posOffset>
                      </wp:positionV>
                      <wp:extent cx="1518285" cy="1250950"/>
                      <wp:effectExtent l="0" t="0" r="5715" b="6350"/>
                      <wp:wrapNone/>
                      <wp:docPr id="30" name="ID_6392303409924D42910A3466B5796BC8"/>
                      <wp:cNvGraphicFramePr/>
                      <a:graphic xmlns:a="http://schemas.openxmlformats.org/drawingml/2006/main">
                        <a:graphicData uri="http://schemas.openxmlformats.org/drawingml/2006/picture">
                          <pic:pic xmlns:pic="http://schemas.openxmlformats.org/drawingml/2006/picture">
                            <pic:nvPicPr>
                              <pic:cNvPr id="111" name="ID_6392303409924D42910A3466B5796BC8"/>
                              <pic:cNvPicPr/>
                              <pic:nvPr/>
                            </pic:nvPicPr>
                            <pic:blipFill>
                              <a:blip r:embed="rId40"/>
                              <a:stretch/>
                            </pic:blipFill>
                            <pic:spPr bwMode="auto">
                              <a:xfrm>
                                <a:off x="0" y="0"/>
                                <a:ext cx="1518285" cy="1250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10.3pt;mso-position-horizontal:absolute;mso-position-vertical-relative:text;margin-top:-15.6pt;mso-position-vertical:absolute;width:119.5pt;height:98.5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1.厚100um，宽50mm，长125m黄白相间的尼龙带，卷装在塑料圆盒内，带上印有警察、POLICE的字样和禁止通行的图案。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2、可重复使用，使用时将尼龙带拉出，用完后，转动手柄将尼龙带卷回塑料盒内。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3、反光警戒带采用3M反光材料制作，具有良好的绝缘，耐寒，耐燃，耐电压，耐酸碱，耐溶剂等特性。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4、执行标准：符合《GA/T 375-2016 警戒带》产品技术标准要求。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5、具有“中国国家认证认可监督管理委员会”和“中国合格评定国家认可委员会”认可的公安部特种警用装备质量监督检验中心出具的承检范围包括本产品的检验报告。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6、警戒带为公安部入围标准产品。</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5001"/>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LED发光标志牌</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171450</wp:posOffset>
                      </wp:positionH>
                      <wp:positionV relativeFrom="paragraph">
                        <wp:posOffset>-713740</wp:posOffset>
                      </wp:positionV>
                      <wp:extent cx="1549400" cy="1399540"/>
                      <wp:effectExtent l="0" t="0" r="12700" b="10160"/>
                      <wp:wrapNone/>
                      <wp:docPr id="31" name="图片_1"/>
                      <wp:cNvGraphicFramePr/>
                      <a:graphic xmlns:a="http://schemas.openxmlformats.org/drawingml/2006/main">
                        <a:graphicData uri="http://schemas.openxmlformats.org/drawingml/2006/picture">
                          <pic:pic xmlns:pic="http://schemas.openxmlformats.org/drawingml/2006/picture">
                            <pic:nvPicPr>
                              <pic:cNvPr id="98" name="图片_1"/>
                              <pic:cNvPicPr/>
                              <pic:nvPr/>
                            </pic:nvPicPr>
                            <pic:blipFill>
                              <a:blip r:embed="rId41"/>
                              <a:stretch/>
                            </pic:blipFill>
                            <pic:spPr bwMode="auto">
                              <a:xfrm>
                                <a:off x="0" y="0"/>
                                <a:ext cx="1549400" cy="13995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13.5pt;mso-position-horizontal:absolute;mso-position-vertical-relative:text;margin-top:-56.2pt;mso-position-vertical:absolute;width:122.0pt;height:110.2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组    成：由警示牌、警示屏、警示灯、警报器、喇叭和框架组成。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    量：22kg（含警示灯）。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    格：警示牌收拢后外形尺寸为：（775mm×375mm×100mm）±10mm（长×宽×高）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警示牌展开后高度为：（1320±10）mm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警示牌展开后角度为：75±2°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警示牌文字显示屏尺寸：320mm×640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文    字：可通过U盘导入文字信息显示屏内容。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声    音：具有警报器警调，可通过U盘导入语音播报功能，警示效果好。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夜视距离：警示灯打开情况下，距样机300米处可看清警示灯闪烁效果。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工作时间：警示灯充满电后，闪烁模式下连续放电时间应不小于160h。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防护等级：警示牌的外壳防护等级应符合GB/T 4208-2017中IP65的等级要求。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一．屏体参数：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显示尺寸：640*320mm（屏幕显示）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      量：22 KG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1）12V免维护锂电蓄电池供电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2）电池容量35AH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3）220V充电供电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    流：10 A/max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工作温度：－20℃ -- ＋60℃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二、警示灯参数：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1）基色：红蓝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2）光源形式：4组44颗大功率高亮度LED频闪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3）寿命：≥10万小时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4）警示灯视距：≥1000米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三、警报参数：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1、输入电压：DC12V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2、最大电流：8.5A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3、喇叭功率：30 W * 1组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四、LED模组技术参数：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模组尺寸（毫米）：640*1280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像素间距（毫米）：10mm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像素密度（点/平方米）：1000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像素组成：1R</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模组解析度：32*16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最大功率（W/平方米）：700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平均功率（W/平方米）：200-300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亮度（cd/平方米）：≥3500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刷新频率：480Hz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IP防护等级：IP65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视角：最佳视角水平90-130度，仰角30-45度，俯角10-20度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LED显示屏视距： 300-450米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显示模组亮度均匀性：＜5%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文字录入方式：盘U电脑录入控制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存储内容：200条信息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显示效果：左移，右移，上移，静止等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遥控功能：遥控开/关字幕屏，切换字幕信息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像素失控率：＜1/100000（行业标准：＜1/10000）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平均无故障工作时间：＞10000小时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使用寿命：＞100000小时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使用环境温度：-10℃～+60℃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使用环境湿度：10％～90％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四、包装箱参数：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外箱尺寸：800mm×420×140mm±10mm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    质：纸箱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    量：23kg±0.5kg</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81"/>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防毒面具</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-46355</wp:posOffset>
                      </wp:positionH>
                      <wp:positionV relativeFrom="paragraph">
                        <wp:posOffset>-3810</wp:posOffset>
                      </wp:positionV>
                      <wp:extent cx="1745615" cy="1461770"/>
                      <wp:effectExtent l="0" t="0" r="6985" b="5080"/>
                      <wp:wrapNone/>
                      <wp:docPr id="32" name="图片_26"/>
                      <wp:cNvGraphicFramePr/>
                      <a:graphic xmlns:a="http://schemas.openxmlformats.org/drawingml/2006/main">
                        <a:graphicData uri="http://schemas.openxmlformats.org/drawingml/2006/picture">
                          <pic:pic xmlns:pic="http://schemas.openxmlformats.org/drawingml/2006/picture">
                            <pic:nvPicPr>
                              <pic:cNvPr id="107" name="图片_26"/>
                              <pic:cNvPicPr/>
                              <pic:nvPr/>
                            </pic:nvPicPr>
                            <pic:blipFill>
                              <a:blip r:embed="rId42"/>
                              <a:stretch/>
                            </pic:blipFill>
                            <pic:spPr bwMode="auto">
                              <a:xfrm>
                                <a:off x="0" y="0"/>
                                <a:ext cx="1745615"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3.6pt;mso-position-horizontal:absolute;mso-position-vertical-relative:text;margin-top:-0.3pt;mso-position-vertical:absolute;width:137.4pt;height:115.1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毒面具密合框为反折边，佩戴舒适、易气密，可满足95%以上成年公民的佩戴。面具五根头带可随意调节，可松紧适宜，其镜片保明采用阻水罩结构，可保证面具在使用时镜片保明性能良好。面具的大眼窗片由聚碳酸酯制成，具有开阔的视野，良好的光学，耐冲击性能。面具还装有通话器，通话器传音清晰，传声损失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防护对象：防氯化氰时间：30min（30L/min，1.5mg/L）；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呼气阻力：100Pa(30L/min）；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视野： 总视野：75%，双目视野： 60%，下方视野： 40度；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油雾透过率 0.005%；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 面具漏气系数： 0.05%；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 贮存寿命：面具滤毒罐在规定条件下，贮存期为5年</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防弹头盔</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115570</wp:posOffset>
                      </wp:positionV>
                      <wp:extent cx="1442085" cy="1096010"/>
                      <wp:effectExtent l="0" t="0" r="5715" b="8890"/>
                      <wp:wrapNone/>
                      <wp:docPr id="33" name="ID_76FF5D23F0494E5283CBB025321C55ED"/>
                      <wp:cNvGraphicFramePr/>
                      <a:graphic xmlns:a="http://schemas.openxmlformats.org/drawingml/2006/main">
                        <a:graphicData uri="http://schemas.openxmlformats.org/drawingml/2006/picture">
                          <pic:pic xmlns:pic="http://schemas.openxmlformats.org/drawingml/2006/picture">
                            <pic:nvPicPr>
                              <pic:cNvPr id="108" name="ID_76FF5D23F0494E5283CBB025321C55ED"/>
                              <pic:cNvPicPr/>
                              <pic:nvPr/>
                            </pic:nvPicPr>
                            <pic:blipFill>
                              <a:blip r:embed="rId43"/>
                              <a:stretch/>
                            </pic:blipFill>
                            <pic:spPr bwMode="auto">
                              <a:xfrm>
                                <a:off x="0" y="0"/>
                                <a:ext cx="1442085" cy="1096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4.0pt;mso-position-horizontal:absolute;mso-position-vertical-relative:text;margin-top:9.1pt;mso-position-vertical:absolute;width:113.5pt;height:86.3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型号：FDK2F-AT05-FAST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等级：公安二级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材质：凯夫拉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温迪悬挂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（a）防护面积： 0.125㎡，防护等级：GA293-2012《警用防弹头盔》2级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（b）产品重量：1.456kg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（c）颜色：特警黑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（d）盔壳侧向刚性检验：最大变形量12.9mm；残余变形量7.6mm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（e）头盔表层漆面三防（霉菌、盐雾、耐湿热）</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499"/>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牵引绳</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400050</wp:posOffset>
                      </wp:positionH>
                      <wp:positionV relativeFrom="paragraph">
                        <wp:posOffset>-100965</wp:posOffset>
                      </wp:positionV>
                      <wp:extent cx="1048385" cy="624840"/>
                      <wp:effectExtent l="0" t="0" r="18415" b="3810"/>
                      <wp:wrapNone/>
                      <wp:docPr id="34" name="ID_4C754D0878414C99A1701C1C4A0EBF59"/>
                      <wp:cNvGraphicFramePr/>
                      <a:graphic xmlns:a="http://schemas.openxmlformats.org/drawingml/2006/main">
                        <a:graphicData uri="http://schemas.openxmlformats.org/drawingml/2006/picture">
                          <pic:pic xmlns:pic="http://schemas.openxmlformats.org/drawingml/2006/picture">
                            <pic:nvPicPr>
                              <pic:cNvPr id="109" name="ID_4C754D0878414C99A1701C1C4A0EBF59"/>
                              <pic:cNvPicPr/>
                              <pic:nvPr/>
                            </pic:nvPicPr>
                            <pic:blipFill>
                              <a:blip r:embed="rId44"/>
                              <a:stretch/>
                            </pic:blipFill>
                            <pic:spPr bwMode="auto">
                              <a:xfrm>
                                <a:off x="0" y="0"/>
                                <a:ext cx="1048385"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31.5pt;mso-position-horizontal:absolute;mso-position-vertical-relative:text;margin-top:-7.9pt;mso-position-vertical:absolute;width:82.5pt;height:49.2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规格：4M，5米</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50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充气式救生圈</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162560</wp:posOffset>
                      </wp:positionH>
                      <wp:positionV relativeFrom="paragraph">
                        <wp:posOffset>-237490</wp:posOffset>
                      </wp:positionV>
                      <wp:extent cx="1555750" cy="1207135"/>
                      <wp:effectExtent l="0" t="0" r="6350" b="12065"/>
                      <wp:wrapNone/>
                      <wp:docPr id="35" name="图片_53"/>
                      <wp:cNvGraphicFramePr/>
                      <a:graphic xmlns:a="http://schemas.openxmlformats.org/drawingml/2006/main">
                        <a:graphicData uri="http://schemas.openxmlformats.org/drawingml/2006/picture">
                          <pic:pic xmlns:pic="http://schemas.openxmlformats.org/drawingml/2006/picture">
                            <pic:nvPicPr>
                              <pic:cNvPr id="110" name="图片_53"/>
                              <pic:cNvPicPr/>
                              <pic:nvPr/>
                            </pic:nvPicPr>
                            <pic:blipFill>
                              <a:blip r:embed="rId45"/>
                              <a:stretch/>
                            </pic:blipFill>
                            <pic:spPr bwMode="auto">
                              <a:xfrm>
                                <a:off x="0" y="0"/>
                                <a:ext cx="1555750"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1312;o:allowoverlap:true;o:allowincell:true;mso-position-horizontal-relative:text;margin-left:12.8pt;mso-position-horizontal:absolute;mso-position-vertical-relative:text;margin-top:-18.7pt;mso-position-vertical:absolute;width:122.5pt;height:95.0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浮力：≥100N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充气时间：3S（充满）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24h浮力损耗：≤5%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颜色：黄色、红色、迷彩灰、黑色、迷彩绿、橙色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尺码：均码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重量：净重±1.5kg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设计亮点：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1.充气式救生圈腰带外包采用：300D牛津布+PU涂层面料，气囊采用210D尼龙+TPU涂层面料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2、充气式救生圈采用全自动启动装置，当检测到设备入水后会自动启动充气装置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3、救生圈涂层表面嵌入两条高反光条，并在腰带外包装四周采用反光条包边，低光环境下反光效果极佳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4、每只充气救生圈配备一只环保手动吹放气气管，气嘴盖可实行快速放气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产品符合标准：行业国标</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648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急救箱</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97790</wp:posOffset>
                      </wp:positionH>
                      <wp:positionV relativeFrom="paragraph">
                        <wp:posOffset>-227965</wp:posOffset>
                      </wp:positionV>
                      <wp:extent cx="1545590" cy="1469390"/>
                      <wp:effectExtent l="0" t="0" r="16510" b="16510"/>
                      <wp:wrapNone/>
                      <wp:docPr id="36" name="图片_29"/>
                      <wp:cNvGraphicFramePr/>
                      <a:graphic xmlns:a="http://schemas.openxmlformats.org/drawingml/2006/main">
                        <a:graphicData uri="http://schemas.openxmlformats.org/drawingml/2006/picture">
                          <pic:pic xmlns:pic="http://schemas.openxmlformats.org/drawingml/2006/picture">
                            <pic:nvPicPr>
                              <pic:cNvPr id="123" name="图片_29"/>
                              <pic:cNvPicPr/>
                              <pic:nvPr/>
                            </pic:nvPicPr>
                            <pic:blipFill>
                              <a:blip r:embed="rId46"/>
                              <a:stretch/>
                            </pic:blipFill>
                            <pic:spPr bwMode="auto">
                              <a:xfrm>
                                <a:off x="0" y="0"/>
                                <a:ext cx="1545590" cy="1469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1312;o:allowoverlap:true;o:allowincell:true;mso-position-horizontal-relative:text;margin-left:7.7pt;mso-position-horizontal:absolute;mso-position-vertical-relative:text;margin-top:-17.9pt;mso-position-vertical:absolute;width:121.7pt;height:115.7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配置明细：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听诊器 1付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血压表 1套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直头手术剪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直头止血钳1把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 敷料镊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 体温计 1支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一次性注射器2支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 弹性细带 1卷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 组带1卷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 止血带 1根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 脱脂纱布1包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 脱脂药棉1包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 电筒 1把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 橡皮膏 2卷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 创可贴1包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 卫生棉签1包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 碘酒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 红汞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 酒精 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20云南白药1瓶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 硝酸甘油片1瓶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 骨折夹板 1付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 不锈钢器材盒 1只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24 塑料器材盒 1只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25 乳胶医用手套2付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26 铝合金箱 1只</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6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便携式自动破玻器</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127635</wp:posOffset>
                      </wp:positionH>
                      <wp:positionV relativeFrom="paragraph">
                        <wp:posOffset>-344170</wp:posOffset>
                      </wp:positionV>
                      <wp:extent cx="1519555" cy="880110"/>
                      <wp:effectExtent l="0" t="0" r="4445" b="15240"/>
                      <wp:wrapNone/>
                      <wp:docPr id="37" name="ID_5EEF0217D3A746EFA722618EBE17D918"/>
                      <wp:cNvGraphicFramePr/>
                      <a:graphic xmlns:a="http://schemas.openxmlformats.org/drawingml/2006/main">
                        <a:graphicData uri="http://schemas.openxmlformats.org/drawingml/2006/picture">
                          <pic:pic xmlns:pic="http://schemas.openxmlformats.org/drawingml/2006/picture">
                            <pic:nvPicPr>
                              <pic:cNvPr id="118" name="ID_5EEF0217D3A746EFA722618EBE17D918"/>
                              <pic:cNvPicPr/>
                              <pic:nvPr/>
                            </pic:nvPicPr>
                            <pic:blipFill>
                              <a:blip r:embed="rId47"/>
                              <a:stretch/>
                            </pic:blipFill>
                            <pic:spPr bwMode="auto">
                              <a:xfrm>
                                <a:off x="0" y="0"/>
                                <a:ext cx="1519555" cy="880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10.0pt;mso-position-horizontal:absolute;mso-position-vertical-relative:text;margin-top:-27.1pt;mso-position-vertical:absolute;width:119.6pt;height:69.3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1.采用电启动气动破碎玻璃，操作简单，迅速、携带方便；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2、有效击碎钢化玻璃厚度≥12mm；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3、破玻配件可更换，手柄可多次使用，可以水下破玻；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4、产品尺寸：φ≤2.4cm，整体长度≤18.4cm（含破窗部件）；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5、工作温度范围：-10～+45℃，产品重量≤230g（不含电池），防摔落高度≥1.5 米；</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大型围挡</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-387985</wp:posOffset>
                      </wp:positionV>
                      <wp:extent cx="1693545" cy="1173480"/>
                      <wp:effectExtent l="0" t="0" r="1905" b="7620"/>
                      <wp:wrapNone/>
                      <wp:docPr id="38" name="图片_36"/>
                      <wp:cNvGraphicFramePr/>
                      <a:graphic xmlns:a="http://schemas.openxmlformats.org/drawingml/2006/main">
                        <a:graphicData uri="http://schemas.openxmlformats.org/drawingml/2006/picture">
                          <pic:pic xmlns:pic="http://schemas.openxmlformats.org/drawingml/2006/picture">
                            <pic:nvPicPr>
                              <pic:cNvPr id="115" name="图片_36"/>
                              <pic:cNvPicPr/>
                              <pic:nvPr/>
                            </pic:nvPicPr>
                            <pic:blipFill>
                              <a:blip r:embed="rId48"/>
                              <a:stretch/>
                            </pic:blipFill>
                            <pic:spPr bwMode="auto">
                              <a:xfrm>
                                <a:off x="0" y="0"/>
                                <a:ext cx="1693544" cy="1173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1312;o:allowoverlap:true;o:allowincell:true;mso-position-horizontal-relative:text;margin-left:2.0pt;mso-position-horizontal:absolute;mso-position-vertical-relative:text;margin-top:-30.5pt;mso-position-vertical:absolute;width:133.3pt;height:92.4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1.便携式警示围挡由警示横幅布、两根碳纤维伸缩立柱组成。配备收纳袋；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2、单根立柱由四节碳纤维杆和固定卡扣组合而成，具有密度高、耐腐蚀，质量轻，展开迅速等优点，单根立柱展开时间8.5S。（供货时验收实物符合要求）；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3、横幅布：警蓝色（h240，s74，b68，r46，g47，b174）；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4、警示横幅上部分设计有【警察执法】字样（字体：黑体、字号≥900磅，颜色：白色）及【POLICE LAW-ENFORCEMENT】字样（字体：黑体、字号≥320磅，颜色：白色）；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5、警示横幅下部分设计有【禁止靠近】【禁止拍摄】（字体：黑体、字号≥500磅，颜色：黄色）及【NO APPROACHING】【NO PHOTOGRAPH】（字体：黑体、字号≥280磅，颜色：黄色）字样；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6、警示横幅布无字空白部分有三角形开口，三角开口布料两边分开，一边和底布相连，便于空气通过，减少展开时的风阻。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7、警示横幅布与立柱固定式连接，碳纤维立柱展开时，依次将碳纤维杆拉出到固定点，由弹出卡扣固定，完全展开围挡。收纳时，依次按下固定卡扣，将碳纤维杆依次收缩。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尺寸：展开尺寸：337cm（高）*665cm（宽）；收缩后高度125cm。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便携性：收纳尺寸≤127cm*26cm*12cm，配备携带袋；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重量：4.96kg；</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816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警用围挡</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wp:posOffset>
                      </wp:positionH>
                      <wp:positionV relativeFrom="paragraph">
                        <wp:posOffset>-471805</wp:posOffset>
                      </wp:positionV>
                      <wp:extent cx="1706880" cy="1203960"/>
                      <wp:effectExtent l="0" t="0" r="7620" b="15240"/>
                      <wp:wrapNone/>
                      <wp:docPr id="39" name="图片_37"/>
                      <wp:cNvGraphicFramePr/>
                      <a:graphic xmlns:a="http://schemas.openxmlformats.org/drawingml/2006/main">
                        <a:graphicData uri="http://schemas.openxmlformats.org/drawingml/2006/picture">
                          <pic:pic xmlns:pic="http://schemas.openxmlformats.org/drawingml/2006/picture">
                            <pic:nvPicPr>
                              <pic:cNvPr id="124" name="图片_37"/>
                              <pic:cNvPicPr/>
                              <pic:nvPr/>
                            </pic:nvPicPr>
                            <pic:blipFill>
                              <a:blip r:embed="rId49"/>
                              <a:stretch/>
                            </pic:blipFill>
                            <pic:spPr bwMode="auto">
                              <a:xfrm>
                                <a:off x="0" y="0"/>
                                <a:ext cx="1706880" cy="1203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1312;o:allowoverlap:true;o:allowincell:true;mso-position-horizontal-relative:text;margin-left:0.4pt;mso-position-horizontal:absolute;mso-position-vertical-relative:text;margin-top:-37.1pt;mso-position-vertical:absolute;width:134.4pt;height:94.8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便携式折叠警戒围挡由警示横幅布、折叠立柱组成，折叠立柱由三节金属管通过“关节”连接，“关节”采用弹簧自动锁定原理设计，展开即自动锁定，轻松、迅速布控，按压式解锁，快速收撤，操作流畅，方便快捷。具有普通警戒带所无法实现遮蔽现场的功能，可以起到保护现场、迅速建立隔离区域，防止无关人员围观、减少负面影响等作用，充分体现“以人为本”的人性化执法理念，真正实现立体控制现场的目的，便于公安机关开展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1、警示横幅布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1）警示横幅布颜色：警蓝色；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2）警示横幅上部分设计有“警察执法”及“POLICE LAW-ENFORCEMENT”字样，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3）警示横幅下部分设计有“禁止靠近”“禁止拍摄”及“NOAPPROACHING””NOPHOTOGRAPH”字样；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2、折叠立柱由三节金属管通过“关节”连接，“关节”采用弹簧自动锁定原理设计，展开即自动锁定，轻松、迅速布控，按压式解锁，快速收撤，操作流畅，方便快捷。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3、规格：展开尺寸：400cm（宽）*200cm（高），携行尺寸：67cm*9cm*8cm，重量≤3.2kg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4、展开时间≤10s，撤收时间≤30s。"</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手持喊话器</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123190</wp:posOffset>
                      </wp:positionH>
                      <wp:positionV relativeFrom="paragraph">
                        <wp:posOffset>-27940</wp:posOffset>
                      </wp:positionV>
                      <wp:extent cx="1422400" cy="1068705"/>
                      <wp:effectExtent l="0" t="0" r="6350" b="17145"/>
                      <wp:wrapNone/>
                      <wp:docPr id="40" name="图片_46"/>
                      <wp:cNvGraphicFramePr/>
                      <a:graphic xmlns:a="http://schemas.openxmlformats.org/drawingml/2006/main">
                        <a:graphicData uri="http://schemas.openxmlformats.org/drawingml/2006/picture">
                          <pic:pic xmlns:pic="http://schemas.openxmlformats.org/drawingml/2006/picture">
                            <pic:nvPicPr>
                              <pic:cNvPr id="117" name="图片_46"/>
                              <pic:cNvPicPr/>
                              <pic:nvPr/>
                            </pic:nvPicPr>
                            <pic:blipFill>
                              <a:blip r:embed="rId50"/>
                              <a:stretch/>
                            </pic:blipFill>
                            <pic:spPr bwMode="auto">
                              <a:xfrm>
                                <a:off x="0" y="0"/>
                                <a:ext cx="1422400"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1312;o:allowoverlap:true;o:allowincell:true;mso-position-horizontal-relative:text;margin-left:9.7pt;mso-position-horizontal:absolute;mso-position-vertical-relative:text;margin-top:-2.2pt;mso-position-vertical:absolute;width:112.0pt;height:84.1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产品电源：5号电池或锂电池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最大功率：≥20W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照明功率：1.2W(LED)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录音时间：约4分钟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频率特性：300Hz—20KHZ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产品规格（LWH）：262×168×225mm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产品重量：650克（含锂电池）</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灭火毯厚度0.43mm，耐火温度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800℃，防火性能高，2米*2米</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62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水上救生组件</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773430</wp:posOffset>
                      </wp:positionH>
                      <wp:positionV relativeFrom="paragraph">
                        <wp:posOffset>350520</wp:posOffset>
                      </wp:positionV>
                      <wp:extent cx="915035" cy="976630"/>
                      <wp:effectExtent l="0" t="0" r="18415" b="13970"/>
                      <wp:wrapNone/>
                      <wp:docPr id="41" name="图片_5"/>
                      <wp:cNvGraphicFramePr/>
                      <a:graphic xmlns:a="http://schemas.openxmlformats.org/drawingml/2006/main">
                        <a:graphicData uri="http://schemas.openxmlformats.org/drawingml/2006/picture">
                          <pic:pic xmlns:pic="http://schemas.openxmlformats.org/drawingml/2006/picture">
                            <pic:nvPicPr>
                              <pic:cNvPr id="122" name="图片_5"/>
                              <pic:cNvPicPr/>
                              <pic:nvPr/>
                            </pic:nvPicPr>
                            <pic:blipFill>
                              <a:blip r:embed="rId51"/>
                              <a:stretch/>
                            </pic:blipFill>
                            <pic:spPr bwMode="auto">
                              <a:xfrm>
                                <a:off x="0" y="0"/>
                                <a:ext cx="915035"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1312;o:allowoverlap:true;o:allowincell:true;mso-position-horizontal-relative:text;margin-left:60.9pt;mso-position-horizontal:absolute;mso-position-vertical-relative:text;margin-top:27.6pt;mso-position-vertical:absolute;width:72.0pt;height:76.9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-16510</wp:posOffset>
                      </wp:positionH>
                      <wp:positionV relativeFrom="paragraph">
                        <wp:posOffset>348615</wp:posOffset>
                      </wp:positionV>
                      <wp:extent cx="684530" cy="1026795"/>
                      <wp:effectExtent l="0" t="0" r="1270" b="1905"/>
                      <wp:wrapNone/>
                      <wp:docPr id="42" name="图片_41"/>
                      <wp:cNvGraphicFramePr/>
                      <a:graphic xmlns:a="http://schemas.openxmlformats.org/drawingml/2006/main">
                        <a:graphicData uri="http://schemas.openxmlformats.org/drawingml/2006/picture">
                          <pic:pic xmlns:pic="http://schemas.openxmlformats.org/drawingml/2006/picture">
                            <pic:nvPicPr>
                              <pic:cNvPr id="120" name="图片_41"/>
                              <pic:cNvPicPr/>
                              <pic:nvPr/>
                            </pic:nvPicPr>
                            <pic:blipFill>
                              <a:blip r:embed="rId52"/>
                              <a:stretch/>
                            </pic:blipFill>
                            <pic:spPr bwMode="auto">
                              <a:xfrm>
                                <a:off x="0" y="0"/>
                                <a:ext cx="684530" cy="102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text;margin-left:-1.3pt;mso-position-horizontal:absolute;mso-position-vertical-relative:text;margin-top:27.4pt;mso-position-vertical:absolute;width:53.9pt;height:80.8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-22225</wp:posOffset>
                      </wp:positionH>
                      <wp:positionV relativeFrom="paragraph">
                        <wp:posOffset>1645285</wp:posOffset>
                      </wp:positionV>
                      <wp:extent cx="836295" cy="742950"/>
                      <wp:effectExtent l="0" t="0" r="1905" b="0"/>
                      <wp:wrapNone/>
                      <wp:docPr id="43" name="ID_3B7F390FC3FE4581B51EF86D027069BC"/>
                      <wp:cNvGraphicFramePr/>
                      <a:graphic xmlns:a="http://schemas.openxmlformats.org/drawingml/2006/main">
                        <a:graphicData uri="http://schemas.openxmlformats.org/drawingml/2006/picture">
                          <pic:pic xmlns:pic="http://schemas.openxmlformats.org/drawingml/2006/picture">
                            <pic:nvPicPr>
                              <pic:cNvPr id="119" name="ID_3B7F390FC3FE4581B51EF86D027069BC"/>
                              <pic:cNvPicPr/>
                              <pic:nvPr/>
                            </pic:nvPicPr>
                            <pic:blipFill>
                              <a:blip r:embed="rId53"/>
                              <a:stretch/>
                            </pic:blipFill>
                            <pic:spPr bwMode="auto">
                              <a:xfrm>
                                <a:off x="0" y="0"/>
                                <a:ext cx="83629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1312;o:allowoverlap:true;o:allowincell:true;mso-position-horizontal-relative:text;margin-left:-1.8pt;mso-position-horizontal:absolute;mso-position-vertical-relative:text;margin-top:129.5pt;mso-position-vertical:absolute;width:65.8pt;height:58.5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815975</wp:posOffset>
                      </wp:positionH>
                      <wp:positionV relativeFrom="paragraph">
                        <wp:posOffset>1438275</wp:posOffset>
                      </wp:positionV>
                      <wp:extent cx="985520" cy="1101725"/>
                      <wp:effectExtent l="0" t="0" r="5080" b="3175"/>
                      <wp:wrapNone/>
                      <wp:docPr id="44" name="图片_47"/>
                      <wp:cNvGraphicFramePr/>
                      <a:graphic xmlns:a="http://schemas.openxmlformats.org/drawingml/2006/main">
                        <a:graphicData uri="http://schemas.openxmlformats.org/drawingml/2006/picture">
                          <pic:pic xmlns:pic="http://schemas.openxmlformats.org/drawingml/2006/picture">
                            <pic:nvPicPr>
                              <pic:cNvPr id="121" name="图片_47"/>
                              <pic:cNvPicPr/>
                              <pic:nvPr/>
                            </pic:nvPicPr>
                            <pic:blipFill>
                              <a:blip r:embed="rId54"/>
                              <a:stretch/>
                            </pic:blipFill>
                            <pic:spPr bwMode="auto">
                              <a:xfrm>
                                <a:off x="0" y="0"/>
                                <a:ext cx="985519" cy="1101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1312;o:allowoverlap:true;o:allowincell:true;mso-position-horizontal-relative:text;margin-left:64.2pt;mso-position-horizontal:absolute;mso-position-vertical-relative:text;margin-top:113.2pt;mso-position-vertical:absolute;width:77.6pt;height:86.8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含充气救生衣、救生浮索、救援绳（10毫米，50米）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绳索材料：高强丙纶；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绳材质：高强度丙纶（可浮在水面，便于识别）                                  绳直径：6mm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绳长：15米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包材质：防水牛津布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重量 : &lt; 0.6kg;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充气时间： ≤5s;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浮力： ≥110N;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浮力损失之后24小时： ≤5%;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 钢瓶： 标配气瓶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 使用环境温度为： -30℃ ~ 配件：口哨，吹气管，气瓶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新标准救生衣是按照IMO MSC.200(80）、MSC.207(81)的要求，以及国家GB4303-2008标准设计制造的，浮力≥155N，满足体重140kg、胸围1750mm的人员穿着。配有救生口哨。该救生衣配有可抛投的漂浮系带，可系在水中另1人穿着的救生服或者救生衣上，还配有可救援的提拉环，让救援人员将穿者托出水面送入救生艇或救生筏内。</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反光锥</w:t>
            </w:r>
            <w:r>
              <w:rPr>
                <w:rFonts w:hint="eastAsia" w:ascii="宋体" w:hAnsi="宋体" w:eastAsia="宋体" w:cs="宋体"/>
                <w:i w:val="0"/>
                <w:iCs w:val="0"/>
                <w:color w:val="auto"/>
                <w:sz w:val="20"/>
                <w:szCs w:val="20"/>
                <w:highlight w:val="none"/>
                <w:u w:val="none"/>
                <w:lang w:val="en-US" w:eastAsia="zh-CN" w:bidi="ar"/>
              </w:rPr>
              <w:t xml:space="preserve">筒</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268605</wp:posOffset>
                      </wp:positionH>
                      <wp:positionV relativeFrom="paragraph">
                        <wp:posOffset>-68580</wp:posOffset>
                      </wp:positionV>
                      <wp:extent cx="992505" cy="1129030"/>
                      <wp:effectExtent l="0" t="0" r="17145" b="13970"/>
                      <wp:wrapNone/>
                      <wp:docPr id="45" name="图片_43"/>
                      <wp:cNvGraphicFramePr/>
                      <a:graphic xmlns:a="http://schemas.openxmlformats.org/drawingml/2006/main">
                        <a:graphicData uri="http://schemas.openxmlformats.org/drawingml/2006/picture">
                          <pic:pic xmlns:pic="http://schemas.openxmlformats.org/drawingml/2006/picture">
                            <pic:nvPicPr>
                              <pic:cNvPr id="112" name="图片_43"/>
                              <pic:cNvPicPr/>
                              <pic:nvPr/>
                            </pic:nvPicPr>
                            <pic:blipFill>
                              <a:blip r:embed="rId55"/>
                              <a:stretch/>
                            </pic:blipFill>
                            <pic:spPr bwMode="auto">
                              <a:xfrm>
                                <a:off x="0" y="0"/>
                                <a:ext cx="992505" cy="1129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21.1pt;mso-position-horizontal:absolute;mso-position-vertical-relative:text;margin-top:-5.4pt;mso-position-vertical:absolute;width:78.1pt;height:88.9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规格：伸缩拉环、蓝色低压灯带、红色低压灯带、防水牛津布、控制按钮、充电插口、定制LOGO、充电指示灯组成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底座、塔圈材质为塑胶，内层为网纱，外层为牛津布。路锥主体是防水荧光牛津布。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总质量：900g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防护等级：IP54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蓝色低压灯带材质：滴胶，灯珠类型：SMD2835，板子宽度：8mm，长度：30.6cm，电压：3V，灯珠数量：16颗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红色抵押灯带材质：滴胶，灯珠类型：SMD2835，板子宽度：8mm，长度：44.2cm，电压：3V，灯珠数量：23颗</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4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酒精测试仪</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201295</wp:posOffset>
                      </wp:positionH>
                      <wp:positionV relativeFrom="paragraph">
                        <wp:posOffset>-260350</wp:posOffset>
                      </wp:positionV>
                      <wp:extent cx="1087755" cy="1120140"/>
                      <wp:effectExtent l="0" t="0" r="17145" b="3810"/>
                      <wp:wrapNone/>
                      <wp:docPr id="46" name="ID_A952EB878C0B44AEA03F3D8EA4C9272A"/>
                      <wp:cNvGraphicFramePr/>
                      <a:graphic xmlns:a="http://schemas.openxmlformats.org/drawingml/2006/main">
                        <a:graphicData uri="http://schemas.openxmlformats.org/drawingml/2006/picture">
                          <pic:pic xmlns:pic="http://schemas.openxmlformats.org/drawingml/2006/picture">
                            <pic:nvPicPr>
                              <pic:cNvPr id="116" name="ID_A952EB878C0B44AEA03F3D8EA4C9272A"/>
                              <pic:cNvPicPr/>
                              <pic:nvPr/>
                            </pic:nvPicPr>
                            <pic:blipFill>
                              <a:blip r:embed="rId56"/>
                              <a:stretch/>
                            </pic:blipFill>
                            <pic:spPr bwMode="auto">
                              <a:xfrm>
                                <a:off x="0" y="0"/>
                                <a:ext cx="1087755"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1312;o:allowoverlap:true;o:allowincell:true;mso-position-horizontal-relative:text;margin-left:15.8pt;mso-position-horizontal:absolute;mso-position-vertical-relative:text;margin-top:-20.5pt;mso-position-vertical:absolute;width:85.6pt;height:88.2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速排查酒精测试仪采用快速检测方法，通过连续抽取被测人呼出的气体，来定量戒定性判断被测量人是否饮用了酒精饮料。此方法最快可以在一秒钟内分析判断，得出测量结果。仪器具有极高的灵敏度，最大限度地减少了漏判的可能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1.传感器：大尺寸燃料电池电化学传感器。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2.测量时间：支持在仪器上自己调整，最快1秒出结果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3.测量模式：快速筛查，自动抽气式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4.测量范围：0～100mg/100ml BAC(血液酒精浓度）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5.灵敏度（仪器采样口到嘴之前距离，酒精模拟器上设定为5mg/100ml）：大于15cm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6.抽气方式：采用泵连续抽气，抽气速度不低于0.5L/分钟。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7.显示屏：彩色全视角1.3inch以上点阵液晶，数字及波形两种显示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8.电池：锂电池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9.连续测量时间：可连续工作50小时以上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10.报警指示：红/黄/绿三色显示对应三种报警浓度，报警浓度可调整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11.语音提示：执法过程语音提示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12.强光照明：仪器后端带有高亮强光照明手电</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047"/>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交通现场指挥系统</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793115" cy="1144905"/>
                      <wp:effectExtent l="0" t="0" r="0" b="10795"/>
                      <wp:docPr id="47" name="图片 25" descr="F:\360MoveData\Users\Administrator\Desktop\交通现场指挥系统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5" descr="F:\360MoveData\Users\Administrator\Desktop\交通现场指挥系统 (2).png"/>
                              <pic:cNvPicPr>
                                <a:picLocks noChangeAspect="1"/>
                              </pic:cNvPicPr>
                              <pic:nvPr/>
                            </pic:nvPicPr>
                            <pic:blipFill>
                              <a:blip r:embed="rId57"/>
                              <a:srcRect l="0" t="0" r="0" b="20878"/>
                              <a:stretch/>
                            </pic:blipFill>
                            <pic:spPr bwMode="auto">
                              <a:xfrm>
                                <a:off x="0" y="0"/>
                                <a:ext cx="793115" cy="114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2.4pt;height:90.1pt;mso-wrap-distance-left:0.0pt;mso-wrap-distance-top:0.0pt;mso-wrap-distance-right:0.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1.可折叠三脚架设计，携带、操作简单方便，可实现30S内快速布置现场。三脚架采用铝合金钢管材质，防水防腐蚀，最高可伸至2.4米。与LED屏部分连接部位采用镀锌碳钢材质，安装牢固，结实耐用。</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2.具有两对以上红蓝爆闪灯，警示距离≥1000米，大大提高警示作用。</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3.采用全户外P10单红单元板LED显示屏，可通过手机进行显示内容修改，手机端软件可以对字体、大小、显示方式、节目组添加、开关屏、定时关机、亮度调节、语言等功能进行控制和修改；可视距离≥500米。</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4.内置30AH锂电池，充电方便，工作时间长：设备功能全工作≥10h，单独LED屏工作≥20h，单独红蓝爆闪灯≥25h，单独摄像头工作≥72h，任意两种功能一起工作≥15h。</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5.镀锌喷塑防氧化外壳工艺，美观坚固耐用，防护等级IP65，具有防水槽和鱼鳞孔设计，防雨防尘，适应各种工作环境。</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6.远程观看</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设备具备1080P网络摄像头，镜头广角≥110°，摄像机联网状态下，可用电脑、手机等移动设备对其进行远程访问，视频画面实时查看，远程控制，双向对讲，指挥调度，系统设置等功能。</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7.夜视功能</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设备具备两颗红外补光灯，夜视距离≥30米。</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8.双向语音对讲</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网络摄像机具备拾音器和扬声器，通过APP实现双向语音对讲，对现场进行指挥调度，方便高效。</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9.动态信息报警</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    系统具备移动侦测、声音侦测功能，且发送报警提醒给后台，实时监控现场动态。</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10.多平台兼容</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系统支持安卓、IOS、windows多平台兼容。</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11.多种存储方式</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    系统支持云存储、TF卡、电脑存，多种存储方式，多种保障，安全靠谱。</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12.电子变倍</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    APP内实现手指缩放画面，让观看更加细微。</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13.断网录像，安全可靠</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标配16GTF卡，无网络状态下也可对现场进行录像取证，最大支持128G存储。</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14.支持功放功能选配</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可实现实时语音录入的播放，有线语音喊话，支持TF卡、U盘读取信息进行播放、蓝牙连接、支持音量大小的调节。</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15.支持防闯联动功能选配</w:t>
            </w:r>
            <w:r/>
          </w:p>
          <w:p>
            <w:pPr>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 xml:space="preserve">可与道路交通事故现场车辆闯入报警设备进行联动（同一厂家），当车辆闯入警戒区域时，该设备会进行文字和声音报警，为一线执法人员提供最及时的信息，保证人员的安全。</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皮卡定制支架</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根据现有皮卡车型号（大通EV）</w:t>
            </w:r>
            <w:r>
              <w:rPr>
                <w:rFonts w:hint="eastAsia" w:ascii="宋体" w:hAnsi="宋体" w:eastAsia="宋体" w:cs="宋体"/>
                <w:i w:val="0"/>
                <w:iCs w:val="0"/>
                <w:color w:val="auto"/>
                <w:sz w:val="20"/>
                <w:szCs w:val="20"/>
                <w:highlight w:val="none"/>
                <w:u w:val="none"/>
                <w:lang w:val="en-US" w:eastAsia="zh-CN" w:bidi="ar"/>
              </w:rPr>
              <w:t xml:space="preserve">，后备箱钢架定制及加工安装</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催泪喷射器</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367030</wp:posOffset>
                      </wp:positionH>
                      <wp:positionV relativeFrom="paragraph">
                        <wp:posOffset>119380</wp:posOffset>
                      </wp:positionV>
                      <wp:extent cx="886460" cy="1362075"/>
                      <wp:effectExtent l="0" t="0" r="8890" b="9525"/>
                      <wp:wrapNone/>
                      <wp:docPr id="48" name="图片_1_SpCnt_1"/>
                      <wp:cNvGraphicFramePr/>
                      <a:graphic xmlns:a="http://schemas.openxmlformats.org/drawingml/2006/main">
                        <a:graphicData uri="http://schemas.openxmlformats.org/drawingml/2006/picture">
                          <pic:pic xmlns:pic="http://schemas.openxmlformats.org/drawingml/2006/picture">
                            <pic:nvPicPr>
                              <pic:cNvPr id="114" name="图片_1_SpCnt_1"/>
                              <pic:cNvPicPr/>
                              <pic:nvPr/>
                            </pic:nvPicPr>
                            <pic:blipFill>
                              <a:blip r:embed="rId58"/>
                              <a:stretch/>
                            </pic:blipFill>
                            <pic:spPr bwMode="auto">
                              <a:xfrm>
                                <a:off x="0" y="0"/>
                                <a:ext cx="88646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28.9pt;mso-position-horizontal:absolute;mso-position-vertical-relative:text;margin-top:9.4pt;mso-position-vertical:absolute;width:69.8pt;height:107.2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1.气压值：加满时为≥0.5MP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2、整体尺寸：176mm±2mm x37.5mm±0.5mm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3、囊袋尺寸为：141mm×75mm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4、罐体尺寸：37.5mm±0.5mm×154mm±0.5mm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5、总重量：≤210g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6、射程：≥5 米 7、使用环境温度：-30 ～ 55 摄氏度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8、辣椒素含量：1.5％～2％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9、灌装液体量：70ml±2ml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10、喷射时间：≥7s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11、溶液为：蓝色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12、喷嘴颜色：白色</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8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新单警伸缩警棍</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105410</wp:posOffset>
                      </wp:positionH>
                      <wp:positionV relativeFrom="paragraph">
                        <wp:posOffset>-298450</wp:posOffset>
                      </wp:positionV>
                      <wp:extent cx="1555750" cy="1101725"/>
                      <wp:effectExtent l="0" t="0" r="6350" b="3175"/>
                      <wp:wrapNone/>
                      <wp:docPr id="49" name="图片_2"/>
                      <wp:cNvGraphicFramePr/>
                      <a:graphic xmlns:a="http://schemas.openxmlformats.org/drawingml/2006/main">
                        <a:graphicData uri="http://schemas.openxmlformats.org/drawingml/2006/picture">
                          <pic:pic xmlns:pic="http://schemas.openxmlformats.org/drawingml/2006/picture">
                            <pic:nvPicPr>
                              <pic:cNvPr id="95" name="图片_2"/>
                              <pic:cNvPicPr/>
                              <pic:nvPr/>
                            </pic:nvPicPr>
                            <pic:blipFill>
                              <a:blip r:embed="rId59"/>
                              <a:stretch/>
                            </pic:blipFill>
                            <pic:spPr bwMode="auto">
                              <a:xfrm>
                                <a:off x="0" y="0"/>
                                <a:ext cx="1555750" cy="1101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8.3pt;mso-position-horizontal:absolute;mso-position-vertical-relative:text;margin-top:-23.5pt;mso-position-vertical:absolute;width:122.5pt;height:86.8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产品符合《GA886-2018 公安单警装备 伸缩警棍》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加强型主材采用：30CrMO 合金钢、抗拉强度≥ 148OMPa，符合 GB / T 3077-2012 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主要技术参数：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重量：320g（基础型）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展开长度：510mm(基础型）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收回长度：215mm（基础型）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耐击打性能：≥3000 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锁合抗冲击性能：≥10 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极限击打性能：≥5 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纵向抗拉性能：≥1000N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结构抗弯性能：≥5000N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伸缩可靠性：≥3000 次。</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w:t>
            </w:r>
            <w:r/>
          </w:p>
        </w:tc>
        <w:tc>
          <w:tcPr>
            <w:shd w:val="clear" w:color="auto" w:fill="auto"/>
            <w:tcBorders>
              <w:top w:val="single" w:color="000000" w:sz="4" w:space="0"/>
              <w:left w:val="non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配件，匹配现有执法记录仪（科达、名都）</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w:t>
            </w:r>
            <w:r/>
          </w:p>
        </w:tc>
        <w:tc>
          <w:tcPr>
            <w:shd w:val="clear" w:color="auto" w:fill="auto"/>
            <w:tcBorders>
              <w:top w:val="single" w:color="000000" w:sz="4" w:space="0"/>
              <w:left w:val="non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配件，匹配现有对讲机（优能）</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w:t>
            </w:r>
            <w:r/>
          </w:p>
        </w:tc>
        <w:tc>
          <w:tcPr>
            <w:shd w:val="clear" w:color="auto" w:fill="auto"/>
            <w:tcBorders>
              <w:top w:val="single" w:color="000000" w:sz="4" w:space="0"/>
              <w:left w:val="non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配件，匹配现有警务通（信电）</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警博士测速仪</w:t>
            </w:r>
            <w:r/>
          </w:p>
        </w:tc>
        <w:tc>
          <w:tcPr>
            <w:shd w:val="clear" w:color="auto" w:fill="auto"/>
            <w:tcBorders>
              <w:top w:val="single" w:color="000000" w:sz="4" w:space="0"/>
              <w:left w:val="none" w:color="000000" w:sz="4" w:space="0"/>
              <w:bottom w:val="single" w:color="000000" w:sz="4" w:space="0"/>
              <w:right w:val="single" w:color="000000" w:sz="4" w:space="0"/>
            </w:tcBorders>
            <w:tcW w:w="294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wp:posOffset>
                      </wp:positionH>
                      <wp:positionV relativeFrom="paragraph">
                        <wp:posOffset>-1120140</wp:posOffset>
                      </wp:positionV>
                      <wp:extent cx="1790065" cy="1604645"/>
                      <wp:effectExtent l="0" t="0" r="635" b="14604"/>
                      <wp:wrapNone/>
                      <wp:docPr id="50" name="图片_4"/>
                      <wp:cNvGraphicFramePr/>
                      <a:graphic xmlns:a="http://schemas.openxmlformats.org/drawingml/2006/main">
                        <a:graphicData uri="http://schemas.openxmlformats.org/drawingml/2006/picture">
                          <pic:pic xmlns:pic="http://schemas.openxmlformats.org/drawingml/2006/picture">
                            <pic:nvPicPr>
                              <pic:cNvPr id="96" name="图片_4"/>
                              <pic:cNvPicPr/>
                              <pic:nvPr/>
                            </pic:nvPicPr>
                            <pic:blipFill>
                              <a:blip r:embed="rId60"/>
                              <a:stretch/>
                            </pic:blipFill>
                            <pic:spPr bwMode="auto">
                              <a:xfrm>
                                <a:off x="0" y="0"/>
                                <a:ext cx="1790065" cy="1604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0.6pt;mso-position-horizontal:absolute;mso-position-vertical-relative:text;margin-top:-88.2pt;mso-position-vertical:absolute;width:140.9pt;height:126.3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8" w:space="0"/>
            </w:tcBorders>
            <w:tcW w:w="34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1.高清工业级摄像机： 500万像素；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2.图片分辨率： JPEG 2560×1920，抓拍连续2张超速图片；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3.照片上自动叠加违法时间、地点、车辆速度、限速值、违法代码等信息；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4.违法车辆连续捕获能力&gt;3次/秒；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5.数据容量不小于10万条；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6.支持网络FTP断点续传；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7.系统支持远程网络遥测和控制；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8.*雷达测量范围：2km/h～450km/h（雷达检测最低捕获车速值≤2km/h，雷达检测最高捕获车速值≥450km/h）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 准确度：模拟测速误差（-1～0）km/h，现场测速误差（-4～0）km/h；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10.雷达工作频率：24.150GHz±45MHz；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11.系统捕获率&gt;98% ，有效率&gt;95%( 系统自动剔除无效车辆）；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 *测量角度：采用平板矩阵窄波束测量技术，其水平主瓣宽度＜ 4.5度；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13.监控目标运动方向：同向、反向、全向；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14.系统能自动识别并区分大、小型车辆类型限速取证；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15.系统供电：直流12V±20% 外置电池容量≥30AH；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17.系统配备7寸高亮度大屏幕液晶触摸屏，便于操作和调试，分辨率1024 x 768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18.工作湿度：5% - 95%，工作温度：-40 ℃ ~ +70 ℃；</w:t>
            </w:r>
            <w:r/>
          </w:p>
        </w:tc>
        <w:tc>
          <w:tcPr>
            <w:shd w:val="clear" w:color="auto" w:fill="auto"/>
            <w:tcBorders>
              <w:top w:val="single" w:color="000000" w:sz="4" w:space="0"/>
              <w:left w:val="single" w:color="000000" w:sz="4" w:space="0"/>
              <w:bottom w:val="single" w:color="000000" w:sz="4" w:space="0"/>
              <w:right w:val="single" w:color="000000" w:sz="8" w:space="0"/>
            </w:tcBorders>
            <w:tcW w:w="674"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bl>
    <w:p>
      <w:pPr>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二、售后服务要求</w:t>
      </w:r>
      <w:r/>
    </w:p>
    <w:p>
      <w:pPr>
        <w:ind w:firstLine="56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1.采购方有故障报告后，</w:t>
      </w:r>
      <w:r>
        <w:rPr>
          <w:rFonts w:hint="eastAsia" w:ascii="宋体" w:hAnsi="宋体" w:cs="宋体"/>
          <w:bCs/>
          <w:color w:val="auto"/>
          <w:sz w:val="24"/>
          <w:szCs w:val="24"/>
          <w:highlight w:val="none"/>
        </w:rPr>
        <w:t xml:space="preserve">须在30分钟内到达采购方使用现场、2小时内解决故障，若不</w:t>
      </w:r>
      <w:r>
        <w:rPr>
          <w:rFonts w:hint="eastAsia" w:ascii="宋体" w:hAnsi="宋体" w:cs="宋体"/>
          <w:bCs/>
          <w:color w:val="auto"/>
          <w:sz w:val="24"/>
          <w:szCs w:val="24"/>
          <w:highlight w:val="none"/>
        </w:rPr>
        <w:t xml:space="preserve">能现场解决，须提供同等性能、同等配置的设备替换，以确保采购方的系统不中断运行，质保期内，与维修相关的所有费用由供货方负责。</w:t>
      </w:r>
      <w:r/>
    </w:p>
    <w:p>
      <w:pPr>
        <w:ind w:firstLine="56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2.每月两次例行常规保养和检修，包括但不限于：智能单警装备库安全检查；硬件设备的清洁、检查、维修、标签更换、异常处理；软件系统、数据库的维护等。质保期内，相关的所有费用由供货方负责。</w:t>
      </w:r>
      <w:r/>
    </w:p>
    <w:p>
      <w:pPr>
        <w:ind w:firstLine="56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3.每月至少两次库房装备现场维护服务，如采购方需要装备应急维护服务，供货方在接到通知后应安排相关人员及时到达现场提供装备维护服务。质保期内，相关的所有费用由供货方负责。</w:t>
      </w:r>
      <w:r/>
    </w:p>
    <w:p>
      <w:pPr>
        <w:ind w:firstLine="56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4.技术服务支持：根据采购方的实际需求情况，供应商向采购方提供现场技术支持服务，包括但不限于操作演示、技术培训等。质保期内，相关的所有费用由供货方负责。</w:t>
      </w:r>
      <w:r/>
    </w:p>
    <w:p>
      <w:pPr>
        <w:ind w:firstLine="56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5.当采购</w:t>
      </w:r>
      <w:r>
        <w:rPr>
          <w:rFonts w:hint="eastAsia" w:ascii="宋体" w:hAnsi="宋体" w:eastAsia="宋体" w:cs="宋体"/>
          <w:bCs/>
          <w:color w:val="auto"/>
          <w:sz w:val="24"/>
          <w:szCs w:val="24"/>
          <w:highlight w:val="none"/>
          <w:lang w:val="en-US" w:eastAsia="zh-CN"/>
        </w:rPr>
        <w:t xml:space="preserve">方</w:t>
      </w:r>
      <w:r>
        <w:rPr>
          <w:rFonts w:hint="eastAsia" w:ascii="宋体" w:hAnsi="宋体" w:cs="宋体"/>
          <w:bCs/>
          <w:color w:val="auto"/>
          <w:sz w:val="24"/>
          <w:szCs w:val="24"/>
          <w:highlight w:val="none"/>
        </w:rPr>
        <w:t xml:space="preserve">接待各地参观智能装备库</w:t>
      </w:r>
      <w:r>
        <w:rPr>
          <w:rFonts w:hint="eastAsia" w:ascii="宋体" w:hAnsi="宋体" w:cs="宋体"/>
          <w:bCs/>
          <w:color w:val="auto"/>
          <w:sz w:val="24"/>
          <w:szCs w:val="24"/>
          <w:highlight w:val="none"/>
        </w:rPr>
        <w:t xml:space="preserve">（本项目）任务时，供应商应及时派遣技术人员到达现场承担技术保障，听从采购方调遣至活动结束（参观接待任务无法精确统计，以202</w:t>
      </w: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年度办公室统计的接待数130场次为参考）。质保期内，相关的所有费用由供货方负责</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default"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投标文件中需提供售后服务承诺书加盖投标人公章，内容包含但不限于上述5点，承诺书格式自拟。</w:t>
      </w:r>
      <w:r/>
    </w:p>
    <w:p>
      <w:pPr>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三、有关说明</w:t>
      </w:r>
      <w:r/>
    </w:p>
    <w:p>
      <w:pPr>
        <w:numPr>
          <w:ilvl w:val="1"/>
          <w:numId w:val="8"/>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8"/>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cs="Times New Roman"/>
          <w:bCs/>
          <w:color w:val="auto"/>
          <w:sz w:val="24"/>
          <w:highlight w:val="none"/>
        </w:rPr>
      </w:pPr>
      <w:r/>
      <w:bookmarkStart w:id="150" w:name="OLE_LINK1"/>
      <w:r>
        <w:rPr>
          <w:rFonts w:hint="eastAsia" w:ascii="宋体" w:hAnsi="宋体" w:cs="宋体"/>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bookmarkEnd w:id="150"/>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cs="Times New Roman"/>
          <w:bCs/>
          <w:color w:val="auto"/>
          <w:sz w:val="24"/>
          <w:highlight w:val="none"/>
        </w:rPr>
      </w:pPr>
      <w:r>
        <w:rPr>
          <w:rFonts w:hint="eastAsia" w:ascii="宋体" w:hAnsi="宋体" w:cs="Times New Roman"/>
          <w:bCs/>
          <w:color w:val="auto"/>
          <w:sz w:val="24"/>
          <w:highlight w:val="none"/>
        </w:rPr>
        <w:t xml:space="preserve">投标人必须在满足招标文件要求的基础上进行报价，如有技术偏离请于投标偏离表中说明。</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cs="Times New Roman"/>
          <w:bCs/>
          <w:color w:val="auto"/>
          <w:sz w:val="24"/>
          <w:highlight w:val="none"/>
        </w:rPr>
      </w:pPr>
      <w:r>
        <w:rPr>
          <w:rFonts w:hint="eastAsia" w:eastAsia="宋体" w:asciiTheme="minorEastAsia" w:hAnsiTheme="minorEastAsia"/>
          <w:color w:val="auto"/>
          <w:sz w:val="24"/>
          <w:szCs w:val="24"/>
          <w:highlight w:val="none"/>
          <w:lang w:eastAsia="zh-CN"/>
        </w:rPr>
        <w:t xml:space="preserve">供货期限：合同签订之日起30</w:t>
      </w:r>
      <w:r>
        <w:rPr>
          <w:rFonts w:hint="eastAsia" w:eastAsia="宋体" w:asciiTheme="minorEastAsia" w:hAnsiTheme="minorEastAsia"/>
          <w:color w:val="auto"/>
          <w:sz w:val="24"/>
          <w:szCs w:val="24"/>
          <w:highlight w:val="none"/>
          <w:lang w:val="en-US" w:eastAsia="zh-CN"/>
        </w:rPr>
        <w:t xml:space="preserve">日历</w:t>
      </w:r>
      <w:r>
        <w:rPr>
          <w:rFonts w:hint="eastAsia" w:eastAsia="宋体" w:asciiTheme="minorEastAsia" w:hAnsiTheme="minorEastAsia"/>
          <w:color w:val="auto"/>
          <w:sz w:val="24"/>
          <w:szCs w:val="24"/>
          <w:highlight w:val="none"/>
          <w:lang w:eastAsia="zh-CN"/>
        </w:rPr>
        <w:t xml:space="preserve">天内</w:t>
      </w:r>
      <w:r>
        <w:rPr>
          <w:rFonts w:hint="eastAsia" w:eastAsia="宋体" w:asciiTheme="minorEastAsia" w:hAnsiTheme="minorEastAsia"/>
          <w:color w:val="auto"/>
          <w:sz w:val="24"/>
          <w:szCs w:val="24"/>
          <w:highlight w:val="none"/>
          <w:lang w:val="en-US" w:eastAsia="zh-CN"/>
        </w:rPr>
        <w:t xml:space="preserve">完成供货安装调试</w:t>
      </w:r>
      <w:r>
        <w:rPr>
          <w:rFonts w:hint="eastAsia" w:ascii="宋体" w:hAnsi="宋体" w:cs="Times New Roman"/>
          <w:bCs/>
          <w:color w:val="auto"/>
          <w:sz w:val="24"/>
          <w:highlight w:val="none"/>
        </w:rPr>
        <w:t xml:space="preserve">。</w:t>
      </w:r>
      <w:r/>
    </w:p>
    <w:p>
      <w:pPr>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cs="Times New Roman"/>
          <w:bCs/>
          <w:color w:val="auto"/>
          <w:sz w:val="24"/>
          <w:highlight w:val="none"/>
        </w:rPr>
      </w:pPr>
      <w:r>
        <w:rPr>
          <w:rFonts w:hint="eastAsia" w:eastAsia="宋体" w:cs="宋体" w:asciiTheme="minorEastAsia" w:hAnsiTheme="minorEastAsia"/>
          <w:color w:val="auto"/>
          <w:sz w:val="24"/>
          <w:szCs w:val="24"/>
          <w:highlight w:val="none"/>
          <w:lang w:val="en-US" w:eastAsia="zh-CN"/>
        </w:rPr>
        <w:t xml:space="preserve">质保期：2年</w:t>
      </w:r>
      <w:r>
        <w:rPr>
          <w:rFonts w:hint="eastAsia" w:ascii="宋体" w:cs="Times New Roman"/>
          <w:bCs/>
          <w:color w:val="auto"/>
          <w:sz w:val="24"/>
          <w:highlight w:val="none"/>
        </w:rPr>
        <w:t xml:space="preserve">。</w:t>
      </w:r>
      <w:r/>
    </w:p>
    <w:p>
      <w:pPr>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cs="Times New Roman"/>
          <w:bCs/>
          <w:color w:val="auto"/>
          <w:sz w:val="24"/>
          <w:highlight w:val="none"/>
        </w:rPr>
      </w:pPr>
      <w:r>
        <w:rPr>
          <w:rFonts w:hint="eastAsia" w:ascii="宋体" w:hAnsi="宋体" w:cs="Times New Roman"/>
          <w:bCs/>
          <w:color w:val="auto"/>
          <w:sz w:val="24"/>
          <w:highlight w:val="none"/>
        </w:rPr>
        <w:t xml:space="preserve">付款方式：合同签订生效</w:t>
      </w:r>
      <w:r>
        <w:rPr>
          <w:rFonts w:hint="eastAsia" w:ascii="宋体" w:hAnsi="宋体" w:cs="Times New Roman"/>
          <w:bCs/>
          <w:color w:val="auto"/>
          <w:sz w:val="24"/>
          <w:highlight w:val="none"/>
          <w:lang w:val="en-US" w:eastAsia="zh-CN"/>
        </w:rPr>
        <w:t xml:space="preserve">后支付30%的预付款</w:t>
      </w:r>
      <w:r>
        <w:rPr>
          <w:rFonts w:hint="eastAsia" w:ascii="宋体" w:hAnsi="宋体" w:cs="Times New Roman"/>
          <w:bCs/>
          <w:color w:val="auto"/>
          <w:sz w:val="24"/>
          <w:highlight w:val="none"/>
        </w:rPr>
        <w:t xml:space="preserve">，设备交付、调试、验收合格后付至合同价的90%，项目验收合格</w:t>
      </w:r>
      <w:r>
        <w:rPr>
          <w:rFonts w:hint="eastAsia" w:ascii="宋体" w:hAnsi="宋体" w:cs="Times New Roman"/>
          <w:bCs/>
          <w:color w:val="auto"/>
          <w:sz w:val="24"/>
          <w:highlight w:val="none"/>
          <w:lang w:val="en-US" w:eastAsia="zh-CN"/>
        </w:rPr>
        <w:t xml:space="preserve">一</w:t>
      </w:r>
      <w:r>
        <w:rPr>
          <w:rFonts w:hint="eastAsia" w:ascii="宋体" w:hAnsi="宋体" w:cs="Times New Roman"/>
          <w:bCs/>
          <w:color w:val="auto"/>
          <w:sz w:val="24"/>
          <w:highlight w:val="none"/>
        </w:rPr>
        <w:t xml:space="preserve">年后付清余款。</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val="en-US" w:eastAsia="zh-CN"/>
        </w:rPr>
        <w:t xml:space="preserve">采购人指定地点</w:t>
      </w: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1"/>
          <w:numId w:val="8"/>
        </w:numPr>
        <w:ind w:left="0" w:firstLine="480"/>
        <w:spacing w:line="360" w:lineRule="auto"/>
        <w:tabs>
          <w:tab w:val="left" w:pos="525" w:leader="none"/>
          <w:tab w:val="left" w:pos="630" w:leader="none"/>
          <w:tab w:val="left" w:pos="735" w:leader="none"/>
          <w:tab w:val="left" w:pos="945" w:leader="none"/>
        </w:tabs>
        <w:rPr>
          <w:rFonts w:eastAsia="宋体"/>
          <w:b w:val="0"/>
          <w:bCs/>
          <w:color w:val="auto"/>
          <w:sz w:val="24"/>
          <w:highlight w:val="none"/>
        </w:rPr>
      </w:pPr>
      <w:r>
        <w:rPr>
          <w:rFonts w:hint="eastAsia" w:ascii="宋体" w:hAnsi="宋体"/>
          <w:b w:val="0"/>
          <w:bCs/>
          <w:color w:val="auto"/>
          <w:sz w:val="24"/>
          <w:highlight w:val="none"/>
        </w:rPr>
        <w:t xml:space="preserve">开标后，投标人须自行准备设备（包括但不限于笔记本电脑、无线网络）登录</w:t>
      </w:r>
      <w:r>
        <w:rPr>
          <w:rFonts w:hint="eastAsia" w:ascii="宋体" w:hAnsi="宋体"/>
          <w:b w:val="0"/>
          <w:bCs/>
          <w:color w:val="auto"/>
          <w:sz w:val="24"/>
          <w:szCs w:val="24"/>
          <w:highlight w:val="none"/>
        </w:rPr>
        <w:t xml:space="preserve">“苏采云”系统</w:t>
      </w:r>
      <w:r>
        <w:rPr>
          <w:rFonts w:hint="eastAsia" w:ascii="宋体" w:hAnsi="宋体"/>
          <w:b w:val="0"/>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8"/>
        </w:numPr>
        <w:ind w:left="0" w:firstLine="480"/>
        <w:spacing w:line="360" w:lineRule="auto"/>
        <w:tabs>
          <w:tab w:val="left" w:pos="525" w:leader="none"/>
          <w:tab w:val="left" w:pos="630" w:leader="none"/>
          <w:tab w:val="left" w:pos="735" w:leader="none"/>
          <w:tab w:val="left" w:pos="945" w:leader="none"/>
        </w:tabs>
        <w:rPr>
          <w:rFonts w:eastAsia="宋体"/>
          <w:b w:val="0"/>
          <w:bCs/>
          <w:color w:val="auto"/>
          <w:sz w:val="24"/>
          <w:highlight w:val="none"/>
        </w:rPr>
      </w:pPr>
      <w:r>
        <w:rPr>
          <w:rFonts w:eastAsia="宋体"/>
          <w:b w:val="0"/>
          <w:bCs/>
          <w:color w:val="auto"/>
          <w:sz w:val="24"/>
          <w:highlight w:val="none"/>
        </w:rPr>
        <w:t xml:space="preserve">其他要求</w:t>
      </w:r>
      <w:r/>
    </w:p>
    <w:p>
      <w:pPr>
        <w:numPr>
          <w:ilvl w:val="0"/>
          <w:numId w:val="0"/>
        </w:numPr>
        <w:ind w:left="523"/>
        <w:spacing w:line="360" w:lineRule="auto"/>
        <w:tabs>
          <w:tab w:val="left" w:pos="-1260" w:leader="none"/>
          <w:tab w:val="left" w:pos="525" w:leader="none"/>
          <w:tab w:val="left" w:pos="945" w:leader="none"/>
        </w:tabs>
        <w:rPr>
          <w:rFonts w:eastAsia="宋体"/>
          <w:bCs/>
          <w:color w:val="auto"/>
          <w:sz w:val="24"/>
          <w:highlight w:val="none"/>
        </w:rPr>
      </w:pPr>
      <w:r>
        <w:rPr>
          <w:rFonts w:hint="eastAsia" w:eastAsia="宋体"/>
          <w:bCs/>
          <w:color w:val="auto"/>
          <w:sz w:val="24"/>
          <w:highlight w:val="none"/>
          <w:lang w:eastAsia="zh-CN"/>
        </w:rPr>
        <w:t xml:space="preserve">（</w:t>
      </w:r>
      <w:r>
        <w:rPr>
          <w:rFonts w:hint="eastAsia" w:eastAsia="宋体"/>
          <w:bCs/>
          <w:color w:val="auto"/>
          <w:sz w:val="24"/>
          <w:highlight w:val="none"/>
          <w:lang w:val="en-US" w:eastAsia="zh-CN"/>
        </w:rPr>
        <w:t xml:space="preserve">1</w:t>
      </w:r>
      <w:r>
        <w:rPr>
          <w:rFonts w:hint="eastAsia" w:eastAsia="宋体"/>
          <w:bCs/>
          <w:color w:val="auto"/>
          <w:sz w:val="24"/>
          <w:highlight w:val="none"/>
          <w:lang w:eastAsia="zh-CN"/>
        </w:rPr>
        <w:t xml:space="preserve">）</w:t>
      </w:r>
      <w:r>
        <w:rPr>
          <w:rFonts w:eastAsia="宋体"/>
          <w:bCs/>
          <w:color w:val="auto"/>
          <w:sz w:val="24"/>
          <w:highlight w:val="none"/>
        </w:rPr>
        <w:t xml:space="preserve">投标供应商之间开展公平竞争，不使用任何不正当行为（包括：回扣、非公众性赠送礼品、贬损他人、价格欺诈及其</w:t>
      </w:r>
      <w:r>
        <w:rPr>
          <w:rFonts w:hint="eastAsia" w:eastAsia="宋体"/>
          <w:bCs/>
          <w:color w:val="auto"/>
          <w:sz w:val="24"/>
          <w:highlight w:val="none"/>
          <w:lang w:eastAsia="zh-CN"/>
        </w:rPr>
        <w:t xml:space="preserve">他</w:t>
      </w:r>
      <w:r>
        <w:rPr>
          <w:rFonts w:eastAsia="宋体"/>
          <w:bCs/>
          <w:color w:val="auto"/>
          <w:sz w:val="24"/>
          <w:highlight w:val="none"/>
        </w:rPr>
        <w:t xml:space="preserve">不正当手段）影响干扰招标人的招标行为；</w:t>
      </w:r>
      <w:r/>
    </w:p>
    <w:p>
      <w:pPr>
        <w:numPr>
          <w:ilvl w:val="0"/>
          <w:numId w:val="0"/>
        </w:numPr>
        <w:ind w:left="523"/>
        <w:spacing w:line="360" w:lineRule="auto"/>
        <w:tabs>
          <w:tab w:val="left" w:pos="-1260" w:leader="none"/>
          <w:tab w:val="left" w:pos="525" w:leader="none"/>
          <w:tab w:val="left" w:pos="945" w:leader="none"/>
        </w:tabs>
        <w:rPr>
          <w:rFonts w:eastAsia="宋体"/>
          <w:bCs/>
          <w:color w:val="auto"/>
          <w:sz w:val="24"/>
          <w:highlight w:val="none"/>
        </w:rPr>
      </w:pPr>
      <w:r>
        <w:rPr>
          <w:rFonts w:hint="eastAsia" w:eastAsia="宋体"/>
          <w:bCs/>
          <w:color w:val="auto"/>
          <w:sz w:val="24"/>
          <w:highlight w:val="none"/>
          <w:lang w:eastAsia="zh-CN"/>
        </w:rPr>
        <w:t xml:space="preserve">（</w:t>
      </w:r>
      <w:r>
        <w:rPr>
          <w:rFonts w:hint="eastAsia" w:eastAsia="宋体"/>
          <w:bCs/>
          <w:color w:val="auto"/>
          <w:sz w:val="24"/>
          <w:highlight w:val="none"/>
          <w:lang w:val="en-US" w:eastAsia="zh-CN"/>
        </w:rPr>
        <w:t xml:space="preserve">2</w:t>
      </w:r>
      <w:r>
        <w:rPr>
          <w:rFonts w:hint="eastAsia" w:eastAsia="宋体"/>
          <w:bCs/>
          <w:color w:val="auto"/>
          <w:sz w:val="24"/>
          <w:highlight w:val="none"/>
          <w:lang w:eastAsia="zh-CN"/>
        </w:rPr>
        <w:t xml:space="preserve">）</w:t>
      </w:r>
      <w:r>
        <w:rPr>
          <w:rFonts w:eastAsia="宋体"/>
          <w:bCs/>
          <w:color w:val="auto"/>
          <w:sz w:val="24"/>
          <w:highlight w:val="none"/>
        </w:rPr>
        <w:t xml:space="preserve">协助有关部门做好经办人员的廉政教育工作，建立防治商业贿赂有效机制；</w:t>
      </w:r>
      <w:r/>
    </w:p>
    <w:p>
      <w:pPr>
        <w:numPr>
          <w:ilvl w:val="0"/>
          <w:numId w:val="0"/>
        </w:numPr>
        <w:ind w:left="523"/>
        <w:spacing w:line="360" w:lineRule="auto"/>
        <w:tabs>
          <w:tab w:val="left" w:pos="-1260" w:leader="none"/>
          <w:tab w:val="left" w:pos="525" w:leader="none"/>
          <w:tab w:val="left" w:pos="945" w:leader="none"/>
        </w:tabs>
        <w:rPr>
          <w:rFonts w:eastAsia="宋体"/>
          <w:bCs/>
          <w:color w:val="auto"/>
          <w:sz w:val="24"/>
          <w:highlight w:val="none"/>
        </w:rPr>
      </w:pPr>
      <w:r>
        <w:rPr>
          <w:rFonts w:hint="eastAsia" w:eastAsia="宋体"/>
          <w:bCs/>
          <w:color w:val="auto"/>
          <w:sz w:val="24"/>
          <w:highlight w:val="none"/>
          <w:lang w:eastAsia="zh-CN"/>
        </w:rPr>
        <w:t xml:space="preserve">（</w:t>
      </w:r>
      <w:r>
        <w:rPr>
          <w:rFonts w:hint="eastAsia" w:eastAsia="宋体"/>
          <w:bCs/>
          <w:color w:val="auto"/>
          <w:sz w:val="24"/>
          <w:highlight w:val="none"/>
          <w:lang w:val="en-US" w:eastAsia="zh-CN"/>
        </w:rPr>
        <w:t xml:space="preserve">3</w:t>
      </w:r>
      <w:r>
        <w:rPr>
          <w:rFonts w:hint="eastAsia" w:eastAsia="宋体"/>
          <w:bCs/>
          <w:color w:val="auto"/>
          <w:sz w:val="24"/>
          <w:highlight w:val="none"/>
          <w:lang w:eastAsia="zh-CN"/>
        </w:rPr>
        <w:t xml:space="preserve">）</w:t>
      </w:r>
      <w:r>
        <w:rPr>
          <w:rFonts w:eastAsia="宋体"/>
          <w:bCs/>
          <w:color w:val="auto"/>
          <w:sz w:val="24"/>
          <w:highlight w:val="none"/>
        </w:rPr>
        <w:t xml:space="preserve">为</w:t>
      </w:r>
      <w:r>
        <w:rPr>
          <w:rFonts w:hint="eastAsia" w:eastAsia="宋体"/>
          <w:bCs/>
          <w:color w:val="auto"/>
          <w:sz w:val="24"/>
          <w:highlight w:val="none"/>
        </w:rPr>
        <w:t xml:space="preserve">采购人</w:t>
      </w:r>
      <w:r>
        <w:rPr>
          <w:rFonts w:eastAsia="宋体"/>
          <w:bCs/>
          <w:color w:val="auto"/>
          <w:sz w:val="24"/>
          <w:highlight w:val="none"/>
        </w:rPr>
        <w:t xml:space="preserve">开具合法的发票，实行支付结算，按规范核算要求进行财务核算；</w:t>
      </w:r>
      <w:r/>
    </w:p>
    <w:p>
      <w:pPr>
        <w:numPr>
          <w:ilvl w:val="0"/>
          <w:numId w:val="0"/>
        </w:numPr>
        <w:ind w:left="523"/>
        <w:spacing w:line="360" w:lineRule="auto"/>
        <w:tabs>
          <w:tab w:val="left" w:pos="-1260" w:leader="none"/>
          <w:tab w:val="left" w:pos="525" w:leader="none"/>
          <w:tab w:val="left" w:pos="945" w:leader="none"/>
        </w:tabs>
        <w:rPr>
          <w:rFonts w:eastAsia="宋体"/>
          <w:bCs/>
          <w:color w:val="auto"/>
          <w:sz w:val="24"/>
          <w:highlight w:val="none"/>
        </w:rPr>
      </w:pPr>
      <w:r>
        <w:rPr>
          <w:rFonts w:hint="eastAsia" w:eastAsia="宋体"/>
          <w:bCs/>
          <w:color w:val="auto"/>
          <w:sz w:val="24"/>
          <w:highlight w:val="none"/>
          <w:lang w:eastAsia="zh-CN"/>
        </w:rPr>
        <w:t xml:space="preserve">（</w:t>
      </w:r>
      <w:r>
        <w:rPr>
          <w:rFonts w:hint="eastAsia" w:eastAsia="宋体"/>
          <w:bCs/>
          <w:color w:val="auto"/>
          <w:sz w:val="24"/>
          <w:highlight w:val="none"/>
          <w:lang w:val="en-US" w:eastAsia="zh-CN"/>
        </w:rPr>
        <w:t xml:space="preserve">4</w:t>
      </w:r>
      <w:r>
        <w:rPr>
          <w:rFonts w:hint="eastAsia" w:eastAsia="宋体"/>
          <w:bCs/>
          <w:color w:val="auto"/>
          <w:sz w:val="24"/>
          <w:highlight w:val="none"/>
          <w:lang w:eastAsia="zh-CN"/>
        </w:rPr>
        <w:t xml:space="preserve">）</w:t>
      </w:r>
      <w:r>
        <w:rPr>
          <w:rFonts w:eastAsia="宋体"/>
          <w:bCs/>
          <w:color w:val="auto"/>
          <w:sz w:val="24"/>
          <w:highlight w:val="none"/>
        </w:rPr>
        <w:t xml:space="preserve">主动接受和配合有关部门的专项检查和抽查，并接受相关处理；</w:t>
      </w:r>
      <w:r/>
    </w:p>
    <w:p>
      <w:pPr>
        <w:numPr>
          <w:ilvl w:val="0"/>
          <w:numId w:val="0"/>
        </w:numPr>
        <w:ind w:left="523"/>
        <w:spacing w:line="360" w:lineRule="auto"/>
        <w:tabs>
          <w:tab w:val="left" w:pos="-1260" w:leader="none"/>
          <w:tab w:val="left" w:pos="525" w:leader="none"/>
          <w:tab w:val="left" w:pos="945" w:leader="none"/>
        </w:tabs>
        <w:rPr>
          <w:rFonts w:hint="default" w:ascii="宋体" w:hAnsi="宋体" w:eastAsia="宋体" w:cs="宋体"/>
          <w:b/>
          <w:color w:val="auto"/>
          <w:sz w:val="24"/>
          <w:szCs w:val="24"/>
          <w:highlight w:val="none"/>
          <w:u w:val="none"/>
          <w:lang w:val="en-US" w:eastAsia="zh-CN"/>
        </w:rPr>
      </w:pPr>
      <w:r>
        <w:rPr>
          <w:rFonts w:hint="eastAsia" w:eastAsia="宋体"/>
          <w:bCs/>
          <w:color w:val="auto"/>
          <w:sz w:val="24"/>
          <w:highlight w:val="none"/>
          <w:lang w:eastAsia="zh-CN"/>
        </w:rPr>
        <w:t xml:space="preserve">（</w:t>
      </w:r>
      <w:r>
        <w:rPr>
          <w:rFonts w:hint="eastAsia" w:eastAsia="宋体"/>
          <w:bCs/>
          <w:color w:val="auto"/>
          <w:sz w:val="24"/>
          <w:highlight w:val="none"/>
          <w:lang w:val="en-US" w:eastAsia="zh-CN"/>
        </w:rPr>
        <w:t xml:space="preserve">5</w:t>
      </w:r>
      <w:r>
        <w:rPr>
          <w:rFonts w:hint="eastAsia" w:eastAsia="宋体"/>
          <w:bCs/>
          <w:color w:val="auto"/>
          <w:sz w:val="24"/>
          <w:highlight w:val="none"/>
          <w:lang w:eastAsia="zh-CN"/>
        </w:rPr>
        <w:t xml:space="preserve">）</w:t>
      </w:r>
      <w:r>
        <w:rPr>
          <w:rFonts w:eastAsia="宋体"/>
          <w:bCs/>
          <w:color w:val="auto"/>
          <w:sz w:val="24"/>
          <w:highlight w:val="none"/>
        </w:rPr>
        <w:t xml:space="preserve">应履行其投标文件中的所有承诺。</w:t>
      </w:r>
      <w:r>
        <w:rPr>
          <w:rFonts w:hint="eastAsia" w:eastAsia="宋体"/>
          <w:bCs/>
          <w:color w:val="auto"/>
          <w:sz w:val="24"/>
          <w:highlight w:val="none"/>
          <w:lang w:val="en-US" w:eastAsia="zh-CN"/>
        </w:rPr>
        <w:t xml:space="preserve">采购人</w:t>
      </w:r>
      <w:r>
        <w:rPr>
          <w:rFonts w:eastAsia="宋体"/>
          <w:bCs/>
          <w:color w:val="auto"/>
          <w:sz w:val="24"/>
          <w:highlight w:val="none"/>
        </w:rPr>
        <w:t xml:space="preserve">如邀请中标供应商提供投标文件及合同以外的</w:t>
      </w:r>
      <w:r>
        <w:rPr>
          <w:rFonts w:hint="eastAsia" w:eastAsia="宋体"/>
          <w:bCs/>
          <w:color w:val="auto"/>
          <w:sz w:val="24"/>
          <w:highlight w:val="none"/>
          <w:lang w:eastAsia="zh-CN"/>
        </w:rPr>
        <w:t xml:space="preserve">其他</w:t>
      </w:r>
      <w:r>
        <w:rPr>
          <w:rFonts w:eastAsia="宋体"/>
          <w:bCs/>
          <w:color w:val="auto"/>
          <w:sz w:val="24"/>
          <w:highlight w:val="none"/>
        </w:rPr>
        <w:t xml:space="preserve">服务，其费用另定；投标供应商可提供其他服务。</w:t>
      </w:r>
      <w:r/>
    </w:p>
    <w:p>
      <w:pPr>
        <w:ind w:firstLine="560"/>
        <w:spacing w:line="360" w:lineRule="auto"/>
        <w:rPr>
          <w:rFonts w:hint="eastAsia" w:ascii="宋体" w:hAnsi="宋体" w:eastAsia="宋体" w:cs="宋体"/>
          <w:b/>
          <w:color w:val="auto"/>
          <w:sz w:val="24"/>
          <w:szCs w:val="24"/>
          <w:highlight w:val="none"/>
          <w:u w:val="none"/>
          <w:lang w:val="en-US" w:eastAsia="zh-CN"/>
        </w:rPr>
        <w:sectPr>
          <w:headerReference w:type="first" r:id="rId9"/>
          <w:footerReference w:type="default" r:id="rId10"/>
          <w:footerReference w:type="first" r:id="rId11"/>
          <w:footnotePr/>
          <w:endnotePr/>
          <w:type w:val="nextPage"/>
          <w:pgSz w:w="11906" w:h="16838" w:orient="portrait"/>
          <w:pgMar w:top="850" w:right="851" w:bottom="850" w:left="1134" w:header="624" w:footer="907" w:gutter="0"/>
          <w:cols w:num="1" w:sep="0" w:space="425" w:equalWidth="1"/>
          <w:docGrid w:linePitch="360"/>
          <w:titlePg/>
        </w:sectPr>
      </w:pPr>
      <w:r>
        <w:rPr>
          <w:rFonts w:hint="eastAsia" w:ascii="宋体" w:hAnsi="宋体" w:eastAsia="宋体" w:cs="宋体"/>
          <w:b/>
          <w:color w:val="auto"/>
          <w:sz w:val="24"/>
          <w:szCs w:val="24"/>
          <w:highlight w:val="none"/>
          <w:u w:val="none"/>
          <w:lang w:val="en-US" w:eastAsia="zh-CN"/>
        </w:rPr>
      </w:r>
      <w:r/>
    </w:p>
    <w:p>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38"/>
        <w:ind w:firstLine="602"/>
        <w:spacing w:before="0" w:after="0" w:line="360" w:lineRule="auto"/>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38"/>
        <w:spacing w:before="0" w:after="0" w:line="360" w:lineRule="auto"/>
        <w:rPr>
          <w:rFonts w:cs="Arial"/>
          <w:color w:val="auto"/>
          <w:highlight w:val="none"/>
        </w:rPr>
      </w:pPr>
      <w:r>
        <w:rPr>
          <w:rFonts w:hint="eastAsia" w:cs="Arial"/>
          <w:color w:val="auto"/>
          <w:highlight w:val="none"/>
        </w:rPr>
        <w:t xml:space="preserve">投标人通过初审的，方可进入比较与评价程序。</w:t>
      </w:r>
      <w:r/>
    </w:p>
    <w:p>
      <w:pPr>
        <w:pStyle w:val="1138"/>
        <w:spacing w:before="0" w:after="0" w:line="360" w:lineRule="auto"/>
        <w:rPr>
          <w:rFonts w:cs="Arial"/>
          <w:color w:val="auto"/>
          <w:highlight w:val="none"/>
        </w:rPr>
      </w:pPr>
      <w:r>
        <w:rPr>
          <w:rFonts w:hint="eastAsia" w:cs="Arial"/>
          <w:color w:val="auto"/>
          <w:highlight w:val="none"/>
        </w:rPr>
        <w:t xml:space="preserve">比较与评价采用综合评分法。</w:t>
      </w:r>
      <w:r/>
    </w:p>
    <w:p>
      <w:pPr>
        <w:pStyle w:val="1138"/>
        <w:spacing w:before="0" w:after="0" w:line="360" w:lineRule="auto"/>
        <w:rPr>
          <w:rStyle w:val="1132"/>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38"/>
        <w:spacing w:before="0" w:after="0" w:line="360" w:lineRule="auto"/>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spacing w:line="360" w:lineRule="auto"/>
        <w:widowControl/>
        <w:rPr>
          <w:rFonts w:ascii="Arial" w:hAnsi="Arial" w:eastAsia="宋体" w:cs="Arial"/>
          <w:b/>
          <w:color w:val="auto"/>
          <w:sz w:val="30"/>
          <w:szCs w:val="30"/>
          <w:highlight w:val="none"/>
        </w:rPr>
      </w:pPr>
      <w:r>
        <w:rPr>
          <w:rFonts w:cs="Arial"/>
          <w:b/>
          <w:color w:val="auto"/>
          <w:sz w:val="30"/>
          <w:szCs w:val="30"/>
          <w:highlight w:val="none"/>
        </w:rPr>
        <w:br w:type="page" w:clear="all"/>
      </w:r>
      <w:r/>
    </w:p>
    <w:p>
      <w:pPr>
        <w:pStyle w:val="1138"/>
        <w:ind w:firstLine="602"/>
        <w:spacing w:before="0" w:after="0" w:line="360" w:lineRule="auto"/>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38"/>
        <w:ind w:firstLine="562"/>
        <w:spacing w:before="0" w:after="0"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38"/>
        <w:ind w:firstLine="360"/>
        <w:spacing w:before="0" w:after="0" w:line="360" w:lineRule="auto"/>
        <w:rPr>
          <w:rFonts w:ascii="宋体" w:hAnsi="宋体"/>
          <w:b/>
          <w:bCs/>
          <w:i/>
          <w:color w:val="auto"/>
          <w:sz w:val="28"/>
          <w:szCs w:val="28"/>
          <w:highlight w:val="none"/>
        </w:rPr>
      </w:pPr>
      <w:r>
        <w:rPr>
          <w:rFonts w:ascii="宋体" w:hAnsi="宋体"/>
          <w:b/>
          <w:bCs/>
          <w:i/>
          <w:color w:val="auto"/>
          <w:sz w:val="28"/>
          <w:szCs w:val="28"/>
          <w:highlight w:val="none"/>
        </w:rPr>
      </w:r>
      <w:r/>
    </w:p>
    <w:p>
      <w:pPr>
        <w:jc w:val="left"/>
        <w:spacing w:line="360" w:lineRule="auto"/>
        <w:widowControl/>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r/>
    </w:p>
    <w:p>
      <w:pPr>
        <w:pStyle w:val="1138"/>
        <w:ind w:firstLine="360"/>
        <w:spacing w:before="0" w:after="0"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二、评分标准</w:t>
      </w:r>
      <w:r/>
    </w:p>
    <w:p>
      <w:pPr>
        <w:pStyle w:val="877"/>
        <w:numPr>
          <w:ilvl w:val="0"/>
          <w:numId w:val="0"/>
        </w:numPr>
        <w:ind w:left="837" w:hanging="583"/>
        <w:spacing w:line="360" w:lineRule="auto"/>
        <w:rPr>
          <w:rFonts w:hint="eastAsia" w:ascii="宋体" w:hAnsi="宋体" w:eastAsia="宋体" w:cs="宋体"/>
          <w:color w:val="auto"/>
          <w:sz w:val="24"/>
          <w:szCs w:val="24"/>
          <w:highlight w:val="none"/>
        </w:rPr>
      </w:pPr>
      <w:r/>
      <w:bookmarkStart w:id="151" w:name="_Hlk165208094"/>
      <w:r/>
      <w:bookmarkStart w:id="152" w:name="_Hlk1652081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评分项目及总分（总分100分）</w:t>
      </w:r>
      <w:r/>
    </w:p>
    <w:p>
      <w:pPr>
        <w:ind w:firstLine="964"/>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商务标60分</w:t>
      </w:r>
      <w:r/>
    </w:p>
    <w:p>
      <w:pPr>
        <w:ind w:firstLine="964"/>
        <w:keepLines w:val="0"/>
        <w:keepNext w:val="0"/>
        <w:pageBreakBefore w:val="0"/>
        <w:spacing w:line="360" w:lineRule="auto"/>
        <w:widowControl w:val="off"/>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 xml:space="preserve">技术标</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bookmarkEnd w:id="151"/>
      <w:r/>
      <w:r/>
    </w:p>
    <w:p>
      <w:pPr>
        <w:ind w:firstLine="241"/>
        <w:spacing w:line="360" w:lineRule="auto"/>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（二</w:t>
      </w:r>
      <w:r>
        <w:rPr>
          <w:rFonts w:hint="eastAsia" w:eastAsia="宋体" w:cs="宋体" w:asciiTheme="minorEastAsia" w:hAnsiTheme="minorEastAsia"/>
          <w:b/>
          <w:color w:val="auto"/>
          <w:sz w:val="24"/>
          <w:highlight w:val="none"/>
          <w:lang w:eastAsia="zh-CN"/>
        </w:rPr>
        <w:t xml:space="preserve">）</w:t>
      </w:r>
      <w:r>
        <w:rPr>
          <w:rFonts w:hint="eastAsia" w:cs="宋体" w:asciiTheme="minorEastAsia" w:hAnsiTheme="minorEastAsia"/>
          <w:b/>
          <w:color w:val="auto"/>
          <w:sz w:val="24"/>
          <w:highlight w:val="none"/>
        </w:rPr>
        <w:t xml:space="preserve">各项目评分标准</w:t>
      </w:r>
      <w:bookmarkEnd w:id="152"/>
      <w:r/>
      <w:r/>
    </w:p>
    <w:p>
      <w:pPr>
        <w:pStyle w:val="1138"/>
        <w:ind w:firstLine="420"/>
        <w:spacing w:before="0" w:after="0" w:line="360" w:lineRule="auto"/>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商务标（60分）</w:t>
      </w:r>
      <w:r/>
    </w:p>
    <w:p>
      <w:pPr>
        <w:pStyle w:val="1138"/>
        <w:ind w:firstLine="420"/>
        <w:spacing w:before="0" w:after="0" w:line="360" w:lineRule="auto"/>
        <w:rPr>
          <w:rFonts w:ascii="宋体" w:hAnsi="宋体"/>
          <w:b/>
          <w:bCs w:val="0"/>
          <w:color w:val="auto"/>
          <w:highlight w:val="none"/>
        </w:rPr>
      </w:pPr>
      <w:r>
        <w:rPr>
          <w:rFonts w:hint="eastAsia" w:ascii="宋体" w:hAnsi="宋体"/>
          <w:b/>
          <w:bCs w:val="0"/>
          <w:color w:val="auto"/>
          <w:sz w:val="24"/>
          <w:szCs w:val="24"/>
          <w:highlight w:val="none"/>
          <w:lang w:val="en-US" w:eastAsia="zh-CN"/>
        </w:rPr>
        <w:t xml:space="preserve">1.</w:t>
      </w:r>
      <w:r>
        <w:rPr>
          <w:rFonts w:hint="eastAsia" w:ascii="宋体" w:hAnsi="宋体"/>
          <w:b/>
          <w:bCs w:val="0"/>
          <w:color w:val="auto"/>
          <w:highlight w:val="none"/>
          <w:lang w:val="en-US" w:eastAsia="zh-CN"/>
        </w:rPr>
        <w:t xml:space="preserve">报价</w:t>
      </w:r>
      <w:r>
        <w:rPr>
          <w:rFonts w:hint="eastAsia" w:ascii="宋体" w:hAnsi="宋体"/>
          <w:b/>
          <w:bCs w:val="0"/>
          <w:color w:val="auto"/>
          <w:highlight w:val="none"/>
        </w:rPr>
        <w:t xml:space="preserve">（</w:t>
      </w:r>
      <w:r>
        <w:rPr>
          <w:rFonts w:hint="eastAsia" w:ascii="宋体" w:hAnsi="宋体"/>
          <w:b/>
          <w:bCs w:val="0"/>
          <w:color w:val="auto"/>
          <w:highlight w:val="none"/>
          <w:lang w:val="en-US" w:eastAsia="zh-CN"/>
        </w:rPr>
        <w:t xml:space="preserve">30</w:t>
      </w:r>
      <w:r>
        <w:rPr>
          <w:rFonts w:hint="eastAsia" w:ascii="宋体" w:hAnsi="宋体"/>
          <w:b/>
          <w:bCs w:val="0"/>
          <w:color w:val="auto"/>
          <w:highlight w:val="none"/>
        </w:rPr>
        <w:t xml:space="preserve">分）</w:t>
      </w:r>
      <w:r/>
    </w:p>
    <w:p>
      <w:pPr>
        <w:ind w:firstLine="480"/>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评标基准价／投标报价</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360" w:lineRule="auto"/>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 xml:space="preserve">关于价格扣除详见本章第二部分“一、落实政府采购政策的价格调整”。</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b/>
          <w:bCs w:val="0"/>
          <w:color w:val="auto"/>
          <w:sz w:val="24"/>
          <w:szCs w:val="24"/>
          <w:highlight w:val="none"/>
          <w:lang w:val="en-US" w:eastAsia="zh-CN"/>
        </w:rPr>
        <w:t xml:space="preserve">2.</w:t>
      </w:r>
      <w:r>
        <w:rPr>
          <w:rFonts w:hint="eastAsia" w:ascii="宋体" w:hAnsi="宋体" w:eastAsia="宋体" w:cs="宋体"/>
          <w:b/>
          <w:bCs/>
          <w:color w:val="auto"/>
          <w:sz w:val="24"/>
          <w:highlight w:val="none"/>
          <w:lang w:val="en-US" w:eastAsia="zh-CN"/>
        </w:rPr>
        <w:t xml:space="preserve">体系认证（3分）</w:t>
      </w:r>
      <w:r/>
    </w:p>
    <w:p>
      <w:pPr>
        <w:ind w:firstLine="480"/>
        <w:spacing w:line="360" w:lineRule="auto"/>
        <w:rPr>
          <w:rFonts w:hint="eastAsia" w:ascii="宋体" w:hAnsi="宋体" w:cs="宋体"/>
          <w:b w:val="0"/>
          <w:bCs w:val="0"/>
          <w:color w:val="auto"/>
          <w:sz w:val="24"/>
          <w:highlight w:val="none"/>
        </w:rPr>
      </w:pPr>
      <w:r>
        <w:rPr>
          <w:rFonts w:hint="eastAsia" w:ascii="宋体" w:hAnsi="宋体" w:eastAsia="Arial" w:cs="宋体"/>
          <w:color w:val="auto"/>
          <w:sz w:val="24"/>
          <w:highlight w:val="none"/>
        </w:rPr>
        <w:t xml:space="preserve">投标供应商具有有效期内</w:t>
      </w:r>
      <w:r>
        <w:rPr>
          <w:rFonts w:hint="eastAsia" w:ascii="宋体" w:hAnsi="宋体" w:eastAsia="宋体" w:cs="宋体"/>
          <w:color w:val="auto"/>
          <w:sz w:val="24"/>
          <w:highlight w:val="none"/>
          <w:lang w:val="en-US" w:eastAsia="zh-CN"/>
        </w:rPr>
        <w:t xml:space="preserve">的</w:t>
      </w:r>
      <w:r>
        <w:rPr>
          <w:rFonts w:hint="eastAsia" w:ascii="宋体" w:hAnsi="宋体" w:eastAsia="Arial" w:cs="宋体"/>
          <w:color w:val="auto"/>
          <w:sz w:val="24"/>
          <w:highlight w:val="none"/>
        </w:rPr>
        <w:t xml:space="preserve">质量管理体系认证证书</w:t>
      </w:r>
      <w:r>
        <w:rPr>
          <w:rFonts w:hint="eastAsia" w:ascii="宋体" w:hAnsi="宋体" w:eastAsia="宋体" w:cs="宋体"/>
          <w:color w:val="auto"/>
          <w:sz w:val="24"/>
          <w:highlight w:val="none"/>
          <w:lang w:eastAsia="zh-CN"/>
        </w:rPr>
        <w:t xml:space="preserve">、</w:t>
      </w:r>
      <w:r>
        <w:rPr>
          <w:rFonts w:hint="eastAsia" w:ascii="宋体" w:hAnsi="宋体" w:eastAsia="Arial" w:cs="宋体"/>
          <w:color w:val="auto"/>
          <w:sz w:val="24"/>
          <w:highlight w:val="none"/>
        </w:rPr>
        <w:t xml:space="preserve">环境管理体系认证证书</w:t>
      </w:r>
      <w:r>
        <w:rPr>
          <w:rFonts w:hint="eastAsia" w:ascii="宋体" w:hAnsi="宋体" w:eastAsia="宋体" w:cs="宋体"/>
          <w:color w:val="auto"/>
          <w:sz w:val="24"/>
          <w:highlight w:val="none"/>
          <w:lang w:eastAsia="zh-CN"/>
        </w:rPr>
        <w:t xml:space="preserve">、职业健康安全管理体系</w:t>
      </w:r>
      <w:r>
        <w:rPr>
          <w:rFonts w:hint="eastAsia" w:ascii="宋体" w:hAnsi="宋体" w:eastAsia="Arial" w:cs="宋体"/>
          <w:color w:val="auto"/>
          <w:sz w:val="24"/>
          <w:highlight w:val="none"/>
        </w:rPr>
        <w:t xml:space="preserve">认证证书的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有一个</w:t>
      </w:r>
      <w:r>
        <w:rPr>
          <w:rFonts w:hint="eastAsia" w:ascii="宋体" w:hAnsi="宋体" w:eastAsia="Arial"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Arial"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3</w:t>
      </w:r>
      <w:r>
        <w:rPr>
          <w:rFonts w:hint="eastAsia" w:ascii="宋体" w:hAnsi="宋体" w:eastAsia="Arial"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Arial"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提供证书扫描件上传至系统中并加盖公章，不提供或提供不符合要求不得分】</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b/>
          <w:bCs w:val="0"/>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本项目配备的</w:t>
      </w:r>
      <w:r>
        <w:rPr>
          <w:rFonts w:hint="eastAsia" w:ascii="宋体" w:hAnsi="宋体" w:eastAsia="宋体" w:cs="宋体"/>
          <w:bCs/>
          <w:color w:val="auto"/>
          <w:sz w:val="24"/>
          <w:highlight w:val="none"/>
          <w:lang w:val="en-US" w:eastAsia="zh-CN"/>
        </w:rPr>
        <w:t xml:space="preserve">人员中具备</w:t>
      </w:r>
      <w:r>
        <w:rPr>
          <w:rFonts w:hint="eastAsia" w:ascii="宋体" w:hAnsi="宋体" w:cs="宋体"/>
          <w:bCs/>
          <w:color w:val="auto"/>
          <w:sz w:val="24"/>
          <w:highlight w:val="none"/>
        </w:rPr>
        <w:t xml:space="preserve">机电类中级技术职称的得1分</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rPr>
        <w:t xml:space="preserve">高级</w:t>
      </w:r>
      <w:r>
        <w:rPr>
          <w:rFonts w:hint="eastAsia" w:ascii="宋体" w:hAnsi="宋体" w:eastAsia="宋体" w:cs="宋体"/>
          <w:bCs/>
          <w:color w:val="auto"/>
          <w:sz w:val="24"/>
          <w:highlight w:val="none"/>
          <w:lang w:val="en-US" w:eastAsia="zh-CN"/>
        </w:rPr>
        <w:t xml:space="preserve">及</w:t>
      </w:r>
      <w:r>
        <w:rPr>
          <w:rFonts w:hint="eastAsia" w:ascii="宋体" w:hAnsi="宋体" w:cs="宋体"/>
          <w:bCs/>
          <w:color w:val="auto"/>
          <w:sz w:val="24"/>
          <w:highlight w:val="none"/>
        </w:rPr>
        <w:t xml:space="preserve">以上技术职称的得2分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本项最多计2人</w:t>
      </w:r>
      <w:r>
        <w:rPr>
          <w:rFonts w:hint="eastAsia" w:ascii="宋体" w:hAnsi="宋体" w:cs="宋体"/>
          <w:bCs/>
          <w:color w:val="auto"/>
          <w:sz w:val="24"/>
          <w:highlight w:val="none"/>
        </w:rPr>
        <w:t xml:space="preserve">，</w:t>
      </w:r>
      <w:r>
        <w:rPr>
          <w:rFonts w:hint="eastAsia" w:ascii="宋体" w:hAnsi="宋体" w:eastAsia="宋体" w:cs="宋体"/>
          <w:color w:val="auto"/>
          <w:sz w:val="24"/>
          <w:szCs w:val="24"/>
          <w:highlight w:val="none"/>
        </w:rPr>
        <w:t xml:space="preserve">最高</w:t>
      </w:r>
      <w:r>
        <w:rPr>
          <w:rFonts w:hint="eastAsia" w:ascii="宋体" w:hAnsi="宋体" w:eastAsia="宋体" w:cs="宋体"/>
          <w:bCs/>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Arial"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提供职称证书、劳动合同以及投标供应商为其缴纳的近三个月</w:t>
      </w:r>
      <w:r>
        <w:rPr>
          <w:rFonts w:hint="eastAsia" w:ascii="宋体" w:hAnsi="宋体" w:eastAsia="宋体" w:cs="宋体"/>
          <w:b w:val="0"/>
          <w:bCs w:val="0"/>
          <w:color w:val="auto"/>
          <w:sz w:val="24"/>
          <w:szCs w:val="24"/>
          <w:highlight w:val="none"/>
        </w:rPr>
        <w:t xml:space="preserve">中任意一个月份（不含</w:t>
      </w:r>
      <w:r>
        <w:rPr>
          <w:rFonts w:hint="eastAsia" w:ascii="宋体" w:hAnsi="宋体" w:eastAsia="宋体" w:cs="宋体"/>
          <w:b w:val="0"/>
          <w:bCs w:val="0"/>
          <w:color w:val="auto"/>
          <w:sz w:val="24"/>
          <w:szCs w:val="24"/>
          <w:highlight w:val="none"/>
          <w:lang w:val="en-US" w:eastAsia="zh-CN"/>
        </w:rPr>
        <w:t xml:space="preserve">投</w:t>
      </w:r>
      <w:r>
        <w:rPr>
          <w:rFonts w:hint="eastAsia" w:ascii="宋体" w:hAnsi="宋体" w:eastAsia="宋体" w:cs="宋体"/>
          <w:b w:val="0"/>
          <w:bCs w:val="0"/>
          <w:color w:val="auto"/>
          <w:sz w:val="24"/>
          <w:szCs w:val="24"/>
          <w:highlight w:val="none"/>
        </w:rPr>
        <w:t xml:space="preserve">标当月）的</w:t>
      </w:r>
      <w:r>
        <w:rPr>
          <w:rFonts w:hint="eastAsia" w:ascii="宋体" w:hAnsi="宋体" w:eastAsia="宋体" w:cs="宋体"/>
          <w:b w:val="0"/>
          <w:bCs w:val="0"/>
          <w:color w:val="auto"/>
          <w:sz w:val="24"/>
          <w:szCs w:val="24"/>
          <w:highlight w:val="none"/>
          <w:lang w:val="en-US" w:eastAsia="zh-CN"/>
        </w:rPr>
        <w:t xml:space="preserve">社保缴费证明扫描件上传至系统中并加盖公章，不提供或提供不符合要求不得分】</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bCs w:val="0"/>
          <w:strike w:val="0"/>
          <w:color w:val="auto"/>
          <w:sz w:val="24"/>
          <w:szCs w:val="24"/>
          <w:highlight w:val="none"/>
          <w:lang w:val="en-US" w:eastAsia="zh-CN"/>
        </w:rPr>
        <w:t xml:space="preserve">4</w:t>
      </w:r>
      <w:r>
        <w:rPr>
          <w:rFonts w:hint="eastAsia" w:ascii="宋体" w:hAnsi="宋体"/>
          <w:b/>
          <w:bCs w:val="0"/>
          <w:color w:val="auto"/>
          <w:sz w:val="24"/>
          <w:szCs w:val="24"/>
          <w:highlight w:val="none"/>
          <w:lang w:val="en-US" w:eastAsia="zh-CN"/>
        </w:rPr>
        <w:t xml:space="preserve">.</w:t>
      </w:r>
      <w:r>
        <w:rPr>
          <w:rFonts w:hint="eastAsia" w:ascii="宋体" w:hAnsi="宋体" w:eastAsia="宋体" w:cs="宋体"/>
          <w:bCs/>
          <w:strike w:val="0"/>
          <w:color w:val="auto"/>
          <w:sz w:val="24"/>
          <w:szCs w:val="24"/>
          <w:highlight w:val="none"/>
        </w:rPr>
        <w:t xml:space="preserve">本项目</w:t>
      </w:r>
      <w:r>
        <w:rPr>
          <w:rFonts w:hint="eastAsia" w:ascii="宋体" w:hAnsi="宋体" w:eastAsia="宋体" w:cs="宋体"/>
          <w:bCs/>
          <w:strike w:val="0"/>
          <w:color w:val="auto"/>
          <w:sz w:val="24"/>
          <w:szCs w:val="24"/>
          <w:highlight w:val="none"/>
          <w:lang w:val="en-US" w:eastAsia="zh-CN"/>
        </w:rPr>
        <w:t xml:space="preserve">配备的</w:t>
      </w:r>
      <w:r>
        <w:rPr>
          <w:rFonts w:hint="eastAsia" w:ascii="宋体" w:hAnsi="宋体" w:eastAsia="宋体" w:cs="宋体"/>
          <w:bCs/>
          <w:strike w:val="0"/>
          <w:color w:val="auto"/>
          <w:sz w:val="24"/>
          <w:szCs w:val="24"/>
          <w:highlight w:val="none"/>
        </w:rPr>
        <w:t xml:space="preserve">安</w:t>
      </w:r>
      <w:r>
        <w:rPr>
          <w:rFonts w:hint="eastAsia" w:ascii="宋体" w:hAnsi="宋体" w:eastAsia="宋体" w:cs="宋体"/>
          <w:bCs/>
          <w:color w:val="auto"/>
          <w:sz w:val="24"/>
          <w:szCs w:val="24"/>
          <w:highlight w:val="none"/>
        </w:rPr>
        <w:t xml:space="preserve">装调试</w:t>
      </w:r>
      <w:r>
        <w:rPr>
          <w:rFonts w:hint="eastAsia" w:ascii="宋体" w:hAnsi="宋体" w:eastAsia="宋体" w:cs="宋体"/>
          <w:bCs/>
          <w:color w:val="auto"/>
          <w:sz w:val="24"/>
          <w:szCs w:val="24"/>
          <w:highlight w:val="none"/>
          <w:lang w:val="en-US" w:eastAsia="zh-CN"/>
        </w:rPr>
        <w:t xml:space="preserve">以及质保期内巡查维护</w:t>
      </w:r>
      <w:r>
        <w:rPr>
          <w:rFonts w:hint="eastAsia" w:ascii="宋体" w:hAnsi="宋体" w:eastAsia="宋体" w:cs="宋体"/>
          <w:bCs/>
          <w:color w:val="auto"/>
          <w:sz w:val="24"/>
          <w:szCs w:val="24"/>
          <w:highlight w:val="none"/>
        </w:rPr>
        <w:t xml:space="preserve">人员中</w:t>
      </w:r>
      <w:r>
        <w:rPr>
          <w:rFonts w:hint="eastAsia" w:ascii="宋体" w:hAnsi="宋体" w:eastAsia="宋体" w:cs="宋体"/>
          <w:color w:val="auto"/>
          <w:sz w:val="24"/>
          <w:szCs w:val="24"/>
          <w:highlight w:val="none"/>
        </w:rPr>
        <w:t xml:space="preserve">有</w:t>
      </w:r>
      <w:r>
        <w:rPr>
          <w:rFonts w:hint="eastAsia" w:ascii="宋体" w:hAnsi="宋体" w:eastAsia="宋体" w:cs="宋体"/>
          <w:bCs/>
          <w:color w:val="auto"/>
          <w:sz w:val="24"/>
          <w:szCs w:val="24"/>
          <w:highlight w:val="none"/>
        </w:rPr>
        <w:t xml:space="preserve">电工人员</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有一名得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eastAsia="宋体" w:cs="宋体"/>
          <w:bCs/>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Arial"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cs="宋体"/>
          <w:bCs/>
          <w:color w:val="auto"/>
          <w:sz w:val="24"/>
          <w:highlight w:val="none"/>
        </w:rPr>
        <w:t xml:space="preserve">由国家电力监管委员会或</w:t>
      </w:r>
      <w:r>
        <w:rPr>
          <w:rFonts w:hint="eastAsia" w:ascii="宋体" w:hAnsi="宋体" w:eastAsia="宋体" w:cs="宋体"/>
          <w:bCs/>
          <w:strike w:val="0"/>
          <w:color w:val="auto"/>
          <w:sz w:val="24"/>
          <w:highlight w:val="none"/>
          <w:lang w:val="en-US" w:eastAsia="zh-CN"/>
        </w:rPr>
        <w:t xml:space="preserve">住房和城乡建设部门</w:t>
      </w:r>
      <w:r>
        <w:rPr>
          <w:rFonts w:hint="eastAsia" w:ascii="宋体" w:hAnsi="宋体" w:cs="宋体"/>
          <w:bCs/>
          <w:color w:val="auto"/>
          <w:sz w:val="24"/>
          <w:highlight w:val="none"/>
        </w:rPr>
        <w:t xml:space="preserve">或</w:t>
      </w:r>
      <w:r>
        <w:rPr>
          <w:rFonts w:hint="eastAsia" w:ascii="宋体" w:hAnsi="宋体" w:eastAsia="宋体" w:cs="宋体"/>
          <w:bCs/>
          <w:strike w:val="0"/>
          <w:color w:val="auto"/>
          <w:sz w:val="24"/>
          <w:highlight w:val="none"/>
          <w:lang w:val="en-US" w:eastAsia="zh-CN"/>
        </w:rPr>
        <w:t xml:space="preserve">应急管理部门（原</w:t>
      </w:r>
      <w:r>
        <w:rPr>
          <w:rFonts w:hint="eastAsia" w:ascii="宋体" w:hAnsi="宋体" w:cs="宋体"/>
          <w:bCs/>
          <w:strike w:val="0"/>
          <w:color w:val="auto"/>
          <w:sz w:val="24"/>
          <w:highlight w:val="none"/>
        </w:rPr>
        <w:t xml:space="preserve">安全生产监督管理</w:t>
      </w:r>
      <w:r>
        <w:rPr>
          <w:rFonts w:hint="eastAsia" w:ascii="宋体" w:hAnsi="宋体" w:eastAsia="宋体" w:cs="宋体"/>
          <w:bCs/>
          <w:strike w:val="0"/>
          <w:color w:val="auto"/>
          <w:sz w:val="24"/>
          <w:highlight w:val="none"/>
          <w:lang w:val="en-US" w:eastAsia="zh-CN"/>
        </w:rPr>
        <w:t xml:space="preserve">部门）</w:t>
      </w:r>
      <w:r>
        <w:rPr>
          <w:rFonts w:hint="eastAsia" w:ascii="宋体" w:hAnsi="宋体" w:eastAsia="宋体" w:cs="宋体"/>
          <w:bCs/>
          <w:color w:val="auto"/>
          <w:sz w:val="24"/>
          <w:highlight w:val="none"/>
          <w:lang w:val="en-US" w:eastAsia="zh-CN"/>
        </w:rPr>
        <w:t xml:space="preserve">或人力资源和社会保障部门</w:t>
      </w:r>
      <w:r>
        <w:rPr>
          <w:rFonts w:hint="eastAsia" w:ascii="宋体" w:hAnsi="宋体" w:cs="宋体"/>
          <w:bCs/>
          <w:color w:val="auto"/>
          <w:sz w:val="24"/>
          <w:highlight w:val="none"/>
        </w:rPr>
        <w:t xml:space="preserve">颁发的电工证书</w:t>
      </w:r>
      <w:r>
        <w:rPr>
          <w:rFonts w:hint="eastAsia" w:ascii="宋体" w:hAnsi="宋体" w:eastAsia="宋体" w:cs="宋体"/>
          <w:b w:val="0"/>
          <w:bCs w:val="0"/>
          <w:color w:val="auto"/>
          <w:sz w:val="24"/>
          <w:szCs w:val="24"/>
          <w:highlight w:val="none"/>
          <w:lang w:val="en-US" w:eastAsia="zh-CN"/>
        </w:rPr>
        <w:t xml:space="preserve">、劳动合同、以及投标供应商为其缴纳的近三个月</w:t>
      </w:r>
      <w:r>
        <w:rPr>
          <w:rFonts w:hint="eastAsia" w:ascii="宋体" w:hAnsi="宋体" w:eastAsia="宋体" w:cs="宋体"/>
          <w:b w:val="0"/>
          <w:bCs w:val="0"/>
          <w:color w:val="auto"/>
          <w:sz w:val="24"/>
          <w:szCs w:val="24"/>
          <w:highlight w:val="none"/>
        </w:rPr>
        <w:t xml:space="preserve">中任意一个月份（不含</w:t>
      </w:r>
      <w:r>
        <w:rPr>
          <w:rFonts w:hint="eastAsia" w:ascii="宋体" w:hAnsi="宋体" w:eastAsia="宋体" w:cs="宋体"/>
          <w:b w:val="0"/>
          <w:bCs w:val="0"/>
          <w:color w:val="auto"/>
          <w:sz w:val="24"/>
          <w:szCs w:val="24"/>
          <w:highlight w:val="none"/>
          <w:lang w:val="en-US" w:eastAsia="zh-CN"/>
        </w:rPr>
        <w:t xml:space="preserve">投</w:t>
      </w:r>
      <w:r>
        <w:rPr>
          <w:rFonts w:hint="eastAsia" w:ascii="宋体" w:hAnsi="宋体" w:eastAsia="宋体" w:cs="宋体"/>
          <w:b w:val="0"/>
          <w:bCs w:val="0"/>
          <w:color w:val="auto"/>
          <w:sz w:val="24"/>
          <w:szCs w:val="24"/>
          <w:highlight w:val="none"/>
        </w:rPr>
        <w:t xml:space="preserve">标当月）的</w:t>
      </w:r>
      <w:r>
        <w:rPr>
          <w:rFonts w:hint="eastAsia" w:ascii="宋体" w:hAnsi="宋体" w:eastAsia="宋体" w:cs="宋体"/>
          <w:b w:val="0"/>
          <w:bCs w:val="0"/>
          <w:color w:val="auto"/>
          <w:sz w:val="24"/>
          <w:szCs w:val="24"/>
          <w:highlight w:val="none"/>
          <w:lang w:val="en-US" w:eastAsia="zh-CN"/>
        </w:rPr>
        <w:t xml:space="preserve">社保缴费证明扫描件上传至系统中并加盖公章，不提供或提供不符合要求不得分】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b/>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产品性能指标（20分）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（1）头盔+蓝牙通讯系统+无线肩咪（2分）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1）针对警员特别设定的高保密性，PTT按下与对讲机通话时自动屏蔽警员到手机的讲话；手机通电话同时也可以进行对讲机通讯，无需切换；可实现同时听分别讲。（1分）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2）当蓝牙耳机内置锂电池电量不足时，可安装干电池应急供电，蓝牙头盔耳机可恢复正常通讯。（1分）</w:t>
      </w:r>
      <w:r/>
    </w:p>
    <w:p>
      <w:pPr>
        <w:ind w:firstLine="480"/>
        <w:spacing w:line="360" w:lineRule="auto"/>
        <w:rPr>
          <w:rFonts w:hint="eastAsia" w:ascii="宋体" w:hAnsi="宋体"/>
          <w:b/>
          <w:bCs w:val="0"/>
          <w:strike/>
          <w:color w:val="auto"/>
          <w:sz w:val="24"/>
          <w:szCs w:val="24"/>
          <w:highlight w:val="none"/>
          <w:lang w:val="en-US" w:eastAsia="zh-CN"/>
        </w:rPr>
      </w:pPr>
      <w:r>
        <w:rPr>
          <w:rFonts w:hint="eastAsia" w:ascii="宋体" w:hAnsi="宋体"/>
          <w:b/>
          <w:color w:val="auto"/>
          <w:sz w:val="24"/>
          <w:highlight w:val="none"/>
          <w:lang w:eastAsia="zh-CN"/>
        </w:rPr>
        <w:t xml:space="preserve">提供</w:t>
      </w:r>
      <w:r>
        <w:rPr>
          <w:rFonts w:hint="eastAsia" w:ascii="宋体" w:hAnsi="宋体" w:cs="宋体"/>
          <w:b/>
          <w:bCs/>
          <w:color w:val="auto"/>
          <w:sz w:val="24"/>
          <w:highlight w:val="none"/>
        </w:rPr>
        <w:t xml:space="preserve">CNAS或CMA认可的第三方权威机构</w:t>
      </w:r>
      <w:r>
        <w:rPr>
          <w:rFonts w:hint="eastAsia" w:ascii="宋体" w:hAnsi="宋体"/>
          <w:b/>
          <w:color w:val="auto"/>
          <w:sz w:val="24"/>
          <w:highlight w:val="none"/>
          <w:lang w:eastAsia="zh-CN"/>
        </w:rPr>
        <w:t xml:space="preserve">的检测报告</w:t>
      </w:r>
      <w:r>
        <w:rPr>
          <w:rFonts w:hint="eastAsia" w:ascii="宋体" w:hAnsi="宋体"/>
          <w:b/>
          <w:color w:val="auto"/>
          <w:sz w:val="24"/>
          <w:highlight w:val="none"/>
        </w:rPr>
        <w:t xml:space="preserve">扫描件上传至</w:t>
      </w:r>
      <w:r>
        <w:rPr>
          <w:rFonts w:hint="eastAsia" w:ascii="宋体" w:hAnsi="宋体" w:eastAsia="宋体"/>
          <w:b/>
          <w:color w:val="auto"/>
          <w:sz w:val="24"/>
          <w:highlight w:val="none"/>
          <w:lang w:val="en-US" w:eastAsia="zh-CN"/>
        </w:rPr>
        <w:t xml:space="preserve">系统并</w:t>
      </w:r>
      <w:r>
        <w:rPr>
          <w:rFonts w:hint="eastAsia" w:ascii="宋体" w:hAnsi="宋体"/>
          <w:b/>
          <w:color w:val="auto"/>
          <w:sz w:val="24"/>
          <w:highlight w:val="none"/>
        </w:rPr>
        <w:t xml:space="preserve">加盖公章</w:t>
      </w:r>
      <w:r>
        <w:rPr>
          <w:rFonts w:hint="eastAsia" w:ascii="宋体" w:hAnsi="宋体"/>
          <w:b/>
          <w:bCs w:val="0"/>
          <w:color w:val="auto"/>
          <w:sz w:val="24"/>
          <w:szCs w:val="24"/>
          <w:highlight w:val="none"/>
          <w:lang w:val="en-US" w:eastAsia="zh-CN"/>
        </w:rPr>
        <w:t xml:space="preserve">。</w:t>
      </w:r>
      <w:r>
        <w:rPr>
          <w:rFonts w:hint="eastAsia" w:ascii="宋体" w:hAnsi="宋体"/>
          <w:b/>
          <w:bCs w:val="0"/>
          <w:strike w:val="0"/>
          <w:color w:val="auto"/>
          <w:sz w:val="24"/>
          <w:szCs w:val="24"/>
          <w:highlight w:val="none"/>
          <w:lang w:val="en-US" w:eastAsia="zh-CN"/>
        </w:rPr>
        <w:t xml:space="preserve">不提供或者提供不完整均不得分。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（2）警用围挡（2分）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警用围挡警示布遮光率≥96%（2分）</w:t>
      </w:r>
      <w:r/>
    </w:p>
    <w:p>
      <w:pPr>
        <w:ind w:firstLine="480"/>
        <w:spacing w:line="360" w:lineRule="auto"/>
        <w:rPr>
          <w:rFonts w:hint="eastAsia" w:ascii="宋体" w:hAnsi="宋体"/>
          <w:b/>
          <w:bCs w:val="0"/>
          <w:color w:val="auto"/>
          <w:sz w:val="24"/>
          <w:szCs w:val="24"/>
          <w:highlight w:val="none"/>
          <w:lang w:val="en-US" w:eastAsia="zh-CN"/>
        </w:rPr>
      </w:pPr>
      <w:r>
        <w:rPr>
          <w:rFonts w:hint="eastAsia" w:ascii="宋体" w:hAnsi="宋体"/>
          <w:b/>
          <w:color w:val="auto"/>
          <w:sz w:val="24"/>
          <w:highlight w:val="none"/>
          <w:lang w:eastAsia="zh-CN"/>
        </w:rPr>
        <w:t xml:space="preserve">提供</w:t>
      </w:r>
      <w:r>
        <w:rPr>
          <w:rFonts w:hint="eastAsia" w:ascii="宋体" w:hAnsi="宋体" w:cs="宋体"/>
          <w:b/>
          <w:bCs/>
          <w:color w:val="auto"/>
          <w:sz w:val="24"/>
          <w:highlight w:val="none"/>
        </w:rPr>
        <w:t xml:space="preserve">CNAS或CMA认可的第三方权威机构</w:t>
      </w:r>
      <w:r>
        <w:rPr>
          <w:rFonts w:hint="eastAsia" w:ascii="宋体" w:hAnsi="宋体"/>
          <w:b/>
          <w:color w:val="auto"/>
          <w:sz w:val="24"/>
          <w:highlight w:val="none"/>
          <w:lang w:eastAsia="zh-CN"/>
        </w:rPr>
        <w:t xml:space="preserve">的检测报告</w:t>
      </w:r>
      <w:r>
        <w:rPr>
          <w:rFonts w:hint="eastAsia" w:ascii="宋体" w:hAnsi="宋体"/>
          <w:b/>
          <w:color w:val="auto"/>
          <w:sz w:val="24"/>
          <w:highlight w:val="none"/>
        </w:rPr>
        <w:t xml:space="preserve">扫描件上传至</w:t>
      </w:r>
      <w:r>
        <w:rPr>
          <w:rFonts w:hint="eastAsia" w:ascii="宋体" w:hAnsi="宋体" w:eastAsia="宋体"/>
          <w:b/>
          <w:color w:val="auto"/>
          <w:sz w:val="24"/>
          <w:highlight w:val="none"/>
          <w:lang w:val="en-US" w:eastAsia="zh-CN"/>
        </w:rPr>
        <w:t xml:space="preserve">系统并</w:t>
      </w:r>
      <w:r>
        <w:rPr>
          <w:rFonts w:hint="eastAsia" w:ascii="宋体" w:hAnsi="宋体"/>
          <w:b/>
          <w:color w:val="auto"/>
          <w:sz w:val="24"/>
          <w:highlight w:val="none"/>
        </w:rPr>
        <w:t xml:space="preserve">加盖公章</w:t>
      </w:r>
      <w:r>
        <w:rPr>
          <w:rFonts w:hint="eastAsia" w:ascii="宋体" w:hAnsi="宋体"/>
          <w:b/>
          <w:bCs w:val="0"/>
          <w:color w:val="auto"/>
          <w:sz w:val="24"/>
          <w:szCs w:val="24"/>
          <w:highlight w:val="none"/>
          <w:lang w:val="en-US" w:eastAsia="zh-CN"/>
        </w:rPr>
        <w:t xml:space="preserve">。</w:t>
      </w:r>
      <w:r>
        <w:rPr>
          <w:rFonts w:hint="eastAsia" w:ascii="宋体" w:hAnsi="宋体"/>
          <w:b/>
          <w:bCs w:val="0"/>
          <w:strike w:val="0"/>
          <w:color w:val="auto"/>
          <w:sz w:val="24"/>
          <w:szCs w:val="24"/>
          <w:highlight w:val="none"/>
          <w:lang w:val="en-US" w:eastAsia="zh-CN"/>
        </w:rPr>
        <w:t xml:space="preserve">不提供或者提供不完整均不得分。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（3）反光锥筒（2分）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1）产品电池容量不能低于4200mAh（1分）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2）产品应有锂电池或干电池两种供电模式选择，且在产品底座应有供电方式的标记。（1分）</w:t>
      </w:r>
      <w:r/>
    </w:p>
    <w:p>
      <w:pPr>
        <w:ind w:firstLine="480"/>
        <w:spacing w:line="360" w:lineRule="auto"/>
        <w:rPr>
          <w:rFonts w:hint="eastAsia" w:ascii="宋体" w:hAnsi="宋体"/>
          <w:b/>
          <w:bCs w:val="0"/>
          <w:color w:val="auto"/>
          <w:sz w:val="24"/>
          <w:szCs w:val="24"/>
          <w:highlight w:val="none"/>
          <w:lang w:val="en-US" w:eastAsia="zh-CN"/>
        </w:rPr>
      </w:pPr>
      <w:r>
        <w:rPr>
          <w:rFonts w:hint="eastAsia" w:ascii="宋体" w:hAnsi="宋体"/>
          <w:b/>
          <w:color w:val="auto"/>
          <w:sz w:val="24"/>
          <w:highlight w:val="none"/>
          <w:lang w:eastAsia="zh-CN"/>
        </w:rPr>
        <w:t xml:space="preserve">提供</w:t>
      </w:r>
      <w:r>
        <w:rPr>
          <w:rFonts w:hint="eastAsia" w:ascii="宋体" w:hAnsi="宋体" w:cs="宋体"/>
          <w:b/>
          <w:bCs/>
          <w:color w:val="auto"/>
          <w:sz w:val="24"/>
          <w:highlight w:val="none"/>
        </w:rPr>
        <w:t xml:space="preserve">CNAS或CMA认可的第三方权威机构</w:t>
      </w:r>
      <w:r>
        <w:rPr>
          <w:rFonts w:hint="eastAsia" w:ascii="宋体" w:hAnsi="宋体"/>
          <w:b/>
          <w:color w:val="auto"/>
          <w:sz w:val="24"/>
          <w:highlight w:val="none"/>
          <w:lang w:eastAsia="zh-CN"/>
        </w:rPr>
        <w:t xml:space="preserve">的检测报告</w:t>
      </w:r>
      <w:r>
        <w:rPr>
          <w:rFonts w:hint="eastAsia" w:ascii="宋体" w:hAnsi="宋体"/>
          <w:b/>
          <w:color w:val="auto"/>
          <w:sz w:val="24"/>
          <w:highlight w:val="none"/>
        </w:rPr>
        <w:t xml:space="preserve">扫描件上传至</w:t>
      </w:r>
      <w:r>
        <w:rPr>
          <w:rFonts w:hint="eastAsia" w:ascii="宋体" w:hAnsi="宋体" w:eastAsia="宋体"/>
          <w:b/>
          <w:color w:val="auto"/>
          <w:sz w:val="24"/>
          <w:highlight w:val="none"/>
          <w:lang w:val="en-US" w:eastAsia="zh-CN"/>
        </w:rPr>
        <w:t xml:space="preserve">系统并</w:t>
      </w:r>
      <w:r>
        <w:rPr>
          <w:rFonts w:hint="eastAsia" w:ascii="宋体" w:hAnsi="宋体"/>
          <w:b/>
          <w:color w:val="auto"/>
          <w:sz w:val="24"/>
          <w:highlight w:val="none"/>
        </w:rPr>
        <w:t xml:space="preserve">加盖公章</w:t>
      </w:r>
      <w:r>
        <w:rPr>
          <w:rFonts w:hint="eastAsia" w:ascii="宋体" w:hAnsi="宋体"/>
          <w:b/>
          <w:bCs w:val="0"/>
          <w:color w:val="auto"/>
          <w:sz w:val="24"/>
          <w:szCs w:val="24"/>
          <w:highlight w:val="none"/>
          <w:lang w:val="en-US" w:eastAsia="zh-CN"/>
        </w:rPr>
        <w:t xml:space="preserve">。</w:t>
      </w:r>
      <w:r>
        <w:rPr>
          <w:rFonts w:hint="eastAsia" w:ascii="宋体" w:hAnsi="宋体"/>
          <w:b/>
          <w:bCs w:val="0"/>
          <w:strike w:val="0"/>
          <w:color w:val="auto"/>
          <w:sz w:val="24"/>
          <w:szCs w:val="24"/>
          <w:highlight w:val="none"/>
          <w:lang w:val="en-US" w:eastAsia="zh-CN"/>
        </w:rPr>
        <w:t xml:space="preserve">不提供或者提供不完整均不得分。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（4）多功能指挥棒（2分）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多功能警示棒在弱光模式下，不安装闪光棒，黑暗环境下5m处照度应≥60Lx。多功能警示棒在强光模式下，不安装闪光棒，黑暗环境下5m处照度应≥600Lx。（2分）</w:t>
      </w:r>
      <w:r/>
    </w:p>
    <w:p>
      <w:pPr>
        <w:ind w:firstLine="480"/>
        <w:spacing w:line="360" w:lineRule="auto"/>
        <w:rPr>
          <w:rFonts w:hint="eastAsia" w:ascii="宋体" w:hAnsi="宋体"/>
          <w:b/>
          <w:bCs w:val="0"/>
          <w:strike w:val="0"/>
          <w:color w:val="auto"/>
          <w:sz w:val="24"/>
          <w:szCs w:val="24"/>
          <w:highlight w:val="none"/>
          <w:lang w:val="en-US" w:eastAsia="zh-CN"/>
        </w:rPr>
      </w:pPr>
      <w:r>
        <w:rPr>
          <w:rFonts w:hint="eastAsia" w:ascii="宋体" w:hAnsi="宋体"/>
          <w:b/>
          <w:color w:val="auto"/>
          <w:sz w:val="24"/>
          <w:highlight w:val="none"/>
          <w:lang w:eastAsia="zh-CN"/>
        </w:rPr>
        <w:t xml:space="preserve">提供</w:t>
      </w:r>
      <w:r>
        <w:rPr>
          <w:rFonts w:hint="eastAsia" w:ascii="宋体" w:hAnsi="宋体" w:cs="宋体"/>
          <w:b/>
          <w:bCs/>
          <w:color w:val="auto"/>
          <w:sz w:val="24"/>
          <w:highlight w:val="none"/>
        </w:rPr>
        <w:t xml:space="preserve">CNAS或CMA认可的第三方权威机构</w:t>
      </w:r>
      <w:r>
        <w:rPr>
          <w:rFonts w:hint="eastAsia" w:ascii="宋体" w:hAnsi="宋体"/>
          <w:b/>
          <w:color w:val="auto"/>
          <w:sz w:val="24"/>
          <w:highlight w:val="none"/>
          <w:lang w:eastAsia="zh-CN"/>
        </w:rPr>
        <w:t xml:space="preserve">的检测报告</w:t>
      </w:r>
      <w:r>
        <w:rPr>
          <w:rFonts w:hint="eastAsia" w:ascii="宋体" w:hAnsi="宋体"/>
          <w:b/>
          <w:color w:val="auto"/>
          <w:sz w:val="24"/>
          <w:highlight w:val="none"/>
        </w:rPr>
        <w:t xml:space="preserve">扫描件上传至</w:t>
      </w:r>
      <w:r>
        <w:rPr>
          <w:rFonts w:hint="eastAsia" w:ascii="宋体" w:hAnsi="宋体" w:eastAsia="宋体"/>
          <w:b/>
          <w:color w:val="auto"/>
          <w:sz w:val="24"/>
          <w:highlight w:val="none"/>
          <w:lang w:val="en-US" w:eastAsia="zh-CN"/>
        </w:rPr>
        <w:t xml:space="preserve">系统并</w:t>
      </w:r>
      <w:r>
        <w:rPr>
          <w:rFonts w:hint="eastAsia" w:ascii="宋体" w:hAnsi="宋体"/>
          <w:b/>
          <w:color w:val="auto"/>
          <w:sz w:val="24"/>
          <w:highlight w:val="none"/>
        </w:rPr>
        <w:t xml:space="preserve">加盖公章</w:t>
      </w:r>
      <w:r>
        <w:rPr>
          <w:rFonts w:hint="eastAsia" w:ascii="宋体" w:hAnsi="宋体"/>
          <w:b/>
          <w:bCs w:val="0"/>
          <w:color w:val="auto"/>
          <w:sz w:val="24"/>
          <w:szCs w:val="24"/>
          <w:highlight w:val="none"/>
          <w:lang w:val="en-US" w:eastAsia="zh-CN"/>
        </w:rPr>
        <w:t xml:space="preserve">。</w:t>
      </w:r>
      <w:r>
        <w:rPr>
          <w:rFonts w:hint="eastAsia" w:ascii="宋体" w:hAnsi="宋体"/>
          <w:b/>
          <w:bCs w:val="0"/>
          <w:strike w:val="0"/>
          <w:color w:val="auto"/>
          <w:sz w:val="24"/>
          <w:szCs w:val="24"/>
          <w:highlight w:val="none"/>
          <w:lang w:val="en-US" w:eastAsia="zh-CN"/>
        </w:rPr>
        <w:t xml:space="preserve">不提供或者提供不完整均不得分</w:t>
      </w:r>
      <w:r>
        <w:rPr>
          <w:rFonts w:hint="eastAsia" w:ascii="宋体" w:hAnsi="宋体"/>
          <w:b/>
          <w:color w:val="auto"/>
          <w:sz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（5）智能装备柜（副柜）（6分）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1）在副柜LCD显示屏上可显示装备在柜、装备离柜、装备所属人、以及装备充电状态等信息。（2分）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2）柜门自动弹开，自动关闭。授权人员主柜操作后，柜门自动弹开，同时有灯光频闪提示，当装备离柜后柜门自动关闭。（2分）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3）用户可通过装备管理系统查看装备的充电时间、耗电功率、电压、电流以及充电次数等信息，并能判断装备充电状态，完全充满电后能自动断电，并将接口转换为微电源缓充状态，</w:t>
      </w:r>
      <w:r>
        <w:rPr>
          <w:rFonts w:hint="eastAsia" w:ascii="宋体" w:hAnsi="宋体"/>
          <w:bCs/>
          <w:color w:val="auto"/>
          <w:sz w:val="24"/>
          <w:szCs w:val="24"/>
          <w:highlight w:val="none"/>
          <w:lang w:val="en-US" w:eastAsia="zh-CN"/>
        </w:rPr>
        <w:t xml:space="preserve">进行过流充电保护。当装备长时间未使用，系统应能对装备进行放电后再次充电直到完全充满。</w:t>
      </w:r>
      <w:r>
        <w:rPr>
          <w:rFonts w:hint="eastAsia" w:ascii="宋体" w:hAnsi="宋体" w:eastAsia="宋体" w:cs="宋体"/>
          <w:b w:val="0"/>
          <w:bCs w:val="0"/>
          <w:color w:val="auto"/>
          <w:sz w:val="24"/>
          <w:szCs w:val="24"/>
          <w:highlight w:val="none"/>
          <w:lang w:val="en-US" w:eastAsia="zh-CN"/>
        </w:rPr>
        <w:t xml:space="preserve">（2分）</w:t>
      </w:r>
      <w:r/>
    </w:p>
    <w:p>
      <w:pPr>
        <w:ind w:firstLine="480"/>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lang w:eastAsia="zh-CN"/>
        </w:rPr>
        <w:t xml:space="preserve">提供</w:t>
      </w:r>
      <w:r>
        <w:rPr>
          <w:rFonts w:hint="eastAsia" w:ascii="宋体" w:hAnsi="宋体" w:cs="宋体"/>
          <w:b/>
          <w:bCs/>
          <w:color w:val="auto"/>
          <w:sz w:val="24"/>
          <w:highlight w:val="none"/>
        </w:rPr>
        <w:t xml:space="preserve">CNAS或CMA认可的第三方权威机构</w:t>
      </w:r>
      <w:r>
        <w:rPr>
          <w:rFonts w:hint="eastAsia" w:ascii="宋体" w:hAnsi="宋体"/>
          <w:b/>
          <w:color w:val="auto"/>
          <w:sz w:val="24"/>
          <w:highlight w:val="none"/>
          <w:lang w:eastAsia="zh-CN"/>
        </w:rPr>
        <w:t xml:space="preserve">的检测报告</w:t>
      </w:r>
      <w:r>
        <w:rPr>
          <w:rFonts w:hint="eastAsia" w:ascii="宋体" w:hAnsi="宋体"/>
          <w:b/>
          <w:color w:val="auto"/>
          <w:sz w:val="24"/>
          <w:highlight w:val="none"/>
        </w:rPr>
        <w:t xml:space="preserve">扫描件上传至</w:t>
      </w:r>
      <w:r>
        <w:rPr>
          <w:rFonts w:hint="eastAsia" w:ascii="宋体" w:hAnsi="宋体" w:eastAsia="宋体"/>
          <w:b/>
          <w:color w:val="auto"/>
          <w:sz w:val="24"/>
          <w:highlight w:val="none"/>
          <w:lang w:val="en-US" w:eastAsia="zh-CN"/>
        </w:rPr>
        <w:t xml:space="preserve">系统并</w:t>
      </w:r>
      <w:r>
        <w:rPr>
          <w:rFonts w:hint="eastAsia" w:ascii="宋体" w:hAnsi="宋体"/>
          <w:b/>
          <w:color w:val="auto"/>
          <w:sz w:val="24"/>
          <w:highlight w:val="none"/>
        </w:rPr>
        <w:t xml:space="preserve">加盖公章</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若所投产品不是投标供应商自行生产，需提供制造商针对本项目的授权书原件扫描件加盖厂家公章</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不提供或者提供不完整均不得分。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（6）劝导机器人（6分）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劝导机器人将违章检测抓拍系统、信息发布系统融合为一体，对非机动车不戴头盔、载人、逆行等违法行为检测和信息发布。 </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1）支持检测非机动车违章，可检测出非机动车驾驶员未佩戴头盔、逆行、载人行为。（1.5分）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2）支持非机动车逆行检测功能，捕获率应≥99%。（1.5分）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3）可对非机动车载人数量进行检测，支持输出1～3人的载人数，支持检测前向载人或后向载人。（1.5分）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4）支持100段语音文件导入，可选定某一条语音输出。（1.5分）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
          <w:color w:val="auto"/>
          <w:sz w:val="24"/>
          <w:highlight w:val="none"/>
          <w:lang w:eastAsia="zh-CN"/>
        </w:rPr>
        <w:t xml:space="preserve">提供</w:t>
      </w:r>
      <w:r>
        <w:rPr>
          <w:rFonts w:hint="eastAsia" w:ascii="宋体" w:hAnsi="宋体" w:cs="宋体"/>
          <w:b/>
          <w:bCs/>
          <w:color w:val="auto"/>
          <w:sz w:val="24"/>
          <w:highlight w:val="none"/>
        </w:rPr>
        <w:t xml:space="preserve">第三方权威机构</w:t>
      </w:r>
      <w:r>
        <w:rPr>
          <w:rFonts w:hint="eastAsia" w:ascii="宋体" w:hAnsi="宋体"/>
          <w:b/>
          <w:color w:val="auto"/>
          <w:sz w:val="24"/>
          <w:highlight w:val="none"/>
          <w:lang w:eastAsia="zh-CN"/>
        </w:rPr>
        <w:t xml:space="preserve">的检测报告</w:t>
      </w:r>
      <w:r>
        <w:rPr>
          <w:rFonts w:hint="eastAsia" w:ascii="宋体" w:hAnsi="宋体"/>
          <w:b/>
          <w:color w:val="auto"/>
          <w:sz w:val="24"/>
          <w:highlight w:val="none"/>
        </w:rPr>
        <w:t xml:space="preserve">扫描件上传至</w:t>
      </w:r>
      <w:r>
        <w:rPr>
          <w:rFonts w:hint="eastAsia" w:ascii="宋体" w:hAnsi="宋体" w:eastAsia="宋体"/>
          <w:b/>
          <w:color w:val="auto"/>
          <w:sz w:val="24"/>
          <w:highlight w:val="none"/>
          <w:lang w:val="en-US" w:eastAsia="zh-CN"/>
        </w:rPr>
        <w:t xml:space="preserve">系统并</w:t>
      </w:r>
      <w:r>
        <w:rPr>
          <w:rFonts w:hint="eastAsia" w:ascii="宋体" w:hAnsi="宋体"/>
          <w:b/>
          <w:color w:val="auto"/>
          <w:sz w:val="24"/>
          <w:highlight w:val="none"/>
        </w:rPr>
        <w:t xml:space="preserve">加盖公章</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若所投产品不是投标供应商自行生产，需提供制造商针对本项目的授权书原件扫描件加盖厂家公章</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不提供或者提供不完整均不得分。</w:t>
      </w:r>
      <w:r/>
    </w:p>
    <w:p>
      <w:pPr>
        <w:ind w:firstLine="480"/>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6.</w:t>
      </w:r>
      <w:r>
        <w:rPr>
          <w:rFonts w:ascii="宋体" w:hAnsi="宋体" w:eastAsia="宋体" w:cs="宋体"/>
          <w:b/>
          <w:color w:val="auto"/>
          <w:sz w:val="24"/>
          <w:highlight w:val="none"/>
        </w:rPr>
        <w:t xml:space="preserve">加分因素（1分）</w:t>
      </w:r>
      <w:r>
        <w:rPr>
          <w:rFonts w:hint="eastAsia" w:ascii="宋体" w:hAnsi="宋体" w:eastAsia="宋体" w:cs="宋体"/>
          <w:b/>
          <w:color w:val="auto"/>
          <w:sz w:val="24"/>
          <w:highlight w:val="none"/>
          <w:lang w:eastAsia="zh-CN"/>
        </w:rPr>
        <w:t xml:space="preserve">：</w:t>
      </w:r>
      <w:r>
        <w:rPr>
          <w:rFonts w:ascii="宋体" w:hAnsi="宋体" w:eastAsia="宋体" w:cs="宋体"/>
          <w:color w:val="auto"/>
          <w:sz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w:t>
      </w:r>
      <w:r>
        <w:rPr>
          <w:rFonts w:hint="eastAsia" w:ascii="宋体" w:hAnsi="宋体" w:eastAsia="宋体" w:cs="宋体"/>
          <w:color w:val="auto"/>
          <w:sz w:val="24"/>
          <w:highlight w:val="none"/>
          <w:lang w:eastAsia="zh-CN"/>
        </w:rPr>
        <w:t xml:space="preserve">。</w:t>
      </w:r>
      <w:r>
        <w:rPr>
          <w:rFonts w:hint="eastAsia" w:ascii="宋体" w:hAnsi="宋体" w:eastAsia="Arial" w:cs="Times New Roman"/>
          <w:b w:val="0"/>
          <w:bCs w:val="0"/>
          <w:color w:val="auto"/>
          <w:sz w:val="24"/>
          <w:szCs w:val="24"/>
          <w:highlight w:val="none"/>
        </w:rPr>
        <w:t xml:space="preserve">【</w:t>
      </w:r>
      <w:r>
        <w:rPr>
          <w:rFonts w:ascii="宋体" w:hAnsi="宋体" w:eastAsia="宋体" w:cs="宋体"/>
          <w:b/>
          <w:color w:val="auto"/>
          <w:sz w:val="24"/>
          <w:highlight w:val="none"/>
        </w:rPr>
        <w:t xml:space="preserve">投标时须提供所投产品由国家确定的认证机构出具的、处于有效期之内的节能产品认证证书复印件、环境标志产品认证证书复印件，否则不得分</w:t>
      </w:r>
      <w:r>
        <w:rPr>
          <w:rFonts w:hint="eastAsia" w:ascii="宋体" w:hAnsi="宋体" w:eastAsia="宋体" w:cs="宋体"/>
          <w:b w:val="0"/>
          <w:bCs w:val="0"/>
          <w:color w:val="auto"/>
          <w:sz w:val="24"/>
          <w:szCs w:val="24"/>
          <w:highlight w:val="none"/>
          <w:lang w:val="en-US" w:eastAsia="zh-CN"/>
        </w:rPr>
        <w:t xml:space="preserve">】</w:t>
      </w:r>
      <w:r/>
    </w:p>
    <w:p>
      <w:pPr>
        <w:ind w:firstLine="480"/>
        <w:spacing w:line="360" w:lineRule="auto"/>
        <w:rPr>
          <w:rFonts w:hint="eastAsia" w:ascii="宋体" w:hAnsi="宋体" w:eastAsia="宋体" w:cs="宋体"/>
          <w:b/>
          <w:color w:val="auto"/>
          <w:sz w:val="24"/>
          <w:highlight w:val="none"/>
          <w:lang w:eastAsia="zh-CN"/>
        </w:rPr>
      </w:pPr>
      <w:r>
        <w:rPr>
          <w:rFonts w:hint="eastAsia" w:ascii="宋体" w:hAnsi="宋体"/>
          <w:b/>
          <w:bCs w:val="0"/>
          <w:color w:val="auto"/>
          <w:sz w:val="24"/>
          <w:szCs w:val="24"/>
          <w:highlight w:val="none"/>
          <w:lang w:val="en-US" w:eastAsia="zh-CN"/>
        </w:rPr>
        <w:t xml:space="preserve">注：同一产品同时具备节能产品认证证书、环境标志产品认证证书的，不重复计分。</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二、技术标（40分）</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1.针对本项目的实施方案（5分）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 </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2.安装组织设计方案（5分）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3.针对本项目的质量保障措施（5分）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lang w:val="en-US" w:eastAsia="zh-CN"/>
        </w:rPr>
        <w:t xml:space="preserve">售后服务方案：故障响应时间、修复时间等（5分</w:t>
      </w:r>
      <w:r>
        <w:rPr>
          <w:rFonts w:hint="eastAsia" w:ascii="宋体" w:hAnsi="宋体"/>
          <w:b/>
          <w:bCs w:val="0"/>
          <w:color w:val="auto"/>
          <w:sz w:val="24"/>
          <w:szCs w:val="24"/>
          <w:highlight w:val="none"/>
          <w:lang w:val="en-US" w:eastAsia="zh-CN"/>
        </w:rPr>
        <w:t xml:space="preserve">）</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5.针对本项目的应急方案（5分）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6.关键技术、重点、难点问题解决方案（5分）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bCs w:val="0"/>
          <w:strike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7.针对本项目的文明作业方案</w:t>
      </w:r>
      <w:r>
        <w:rPr>
          <w:rFonts w:hint="eastAsia" w:ascii="宋体" w:hAnsi="宋体"/>
          <w:b/>
          <w:bCs w:val="0"/>
          <w:strike w:val="0"/>
          <w:color w:val="auto"/>
          <w:sz w:val="24"/>
          <w:szCs w:val="24"/>
          <w:highlight w:val="none"/>
          <w:lang w:val="en-US" w:eastAsia="zh-CN"/>
        </w:rPr>
        <w:t xml:space="preserve">（5分）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bCs w:val="0"/>
          <w:strike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8.环境保护措施</w:t>
      </w:r>
      <w:r>
        <w:rPr>
          <w:rFonts w:hint="eastAsia" w:ascii="宋体" w:hAnsi="宋体"/>
          <w:b/>
          <w:bCs w:val="0"/>
          <w:strike w:val="0"/>
          <w:color w:val="auto"/>
          <w:sz w:val="24"/>
          <w:szCs w:val="24"/>
          <w:highlight w:val="none"/>
          <w:lang w:val="en-US" w:eastAsia="zh-CN"/>
        </w:rPr>
        <w:t xml:space="preserve">（5分）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方案详细、完整，完全符合项目需求得5分；方案较详细、较完整，符合项目需求得3分；方案一般，基本符合项目需求得1分；方案不符合或未提供不得分。</w:t>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523"/>
        <w:spacing w:line="4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138"/>
        <w:ind w:firstLine="602"/>
        <w:spacing w:before="0" w:after="0" w:line="360" w:lineRule="auto"/>
        <w:rPr>
          <w:rFonts w:cs="Arial"/>
          <w:b/>
          <w:color w:val="auto"/>
          <w:sz w:val="30"/>
          <w:szCs w:val="30"/>
          <w:highlight w:val="none"/>
        </w:rPr>
      </w:pPr>
      <w:r/>
      <w:bookmarkStart w:id="153" w:name="_Hlt26955039"/>
      <w:r/>
      <w:bookmarkEnd w:id="153"/>
      <w:r/>
      <w:bookmarkStart w:id="154" w:name="_Hlt26671244"/>
      <w:r/>
      <w:bookmarkEnd w:id="154"/>
      <w:r>
        <w:rPr>
          <w:rFonts w:hint="eastAsia" w:cs="Arial"/>
          <w:b/>
          <w:color w:val="auto"/>
          <w:sz w:val="30"/>
          <w:szCs w:val="30"/>
          <w:highlight w:val="none"/>
        </w:rPr>
        <w:t xml:space="preserve">第一部分投标文件内容</w:t>
      </w:r>
      <w:r/>
    </w:p>
    <w:p>
      <w:pPr>
        <w:pStyle w:val="1138"/>
        <w:ind w:firstLine="0"/>
        <w:spacing w:before="0" w:after="0" w:line="360" w:lineRule="auto"/>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5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38"/>
              <w:ind w:firstLine="0"/>
              <w:jc w:val="center"/>
              <w:spacing w:before="0" w:after="0"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38"/>
              <w:jc w:val="center"/>
              <w:spacing w:before="0" w:after="0" w:line="360" w:lineRule="auto"/>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38"/>
              <w:ind w:firstLine="0"/>
              <w:jc w:val="center"/>
              <w:spacing w:before="0" w:after="0" w:line="36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38"/>
              <w:ind w:firstLine="0"/>
              <w:jc w:val="both"/>
              <w:spacing w:before="0" w:after="0" w:line="36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38"/>
              <w:ind w:firstLine="0"/>
              <w:spacing w:before="0" w:after="0" w:line="36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38"/>
              <w:ind w:firstLine="0"/>
              <w:jc w:val="both"/>
              <w:spacing w:before="0" w:after="0" w:line="36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38"/>
              <w:ind w:firstLine="0"/>
              <w:jc w:val="both"/>
              <w:spacing w:before="0" w:after="0" w:line="360" w:lineRule="auto"/>
              <w:rPr>
                <w:rFonts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32"/>
                <w:rFonts w:hint="eastAsia" w:ascii="宋体" w:hAnsi="宋体" w:cs="宋体"/>
                <w:color w:val="auto"/>
                <w:highlight w:val="none"/>
              </w:rPr>
              <w:t xml:space="preserve">。</w:t>
            </w:r>
            <w:r/>
          </w:p>
        </w:tc>
        <w:tc>
          <w:tcPr>
            <w:tcW w:w="2449" w:type="dxa"/>
            <w:vAlign w:val="center"/>
            <w:vMerge w:val="continue"/>
            <w:textDirection w:val="lrTb"/>
            <w:noWrap w:val="false"/>
          </w:tcPr>
          <w:p>
            <w:pPr>
              <w:pStyle w:val="11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38"/>
              <w:ind w:firstLine="0"/>
              <w:jc w:val="both"/>
              <w:spacing w:before="0" w:after="0" w:line="360" w:lineRule="auto"/>
              <w:rPr>
                <w:rFonts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11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38"/>
              <w:ind w:firstLine="0"/>
              <w:jc w:val="both"/>
              <w:spacing w:before="0" w:after="0" w:line="360" w:lineRule="auto"/>
              <w:rPr>
                <w:rFonts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1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138"/>
              <w:ind w:firstLine="0"/>
              <w:jc w:val="both"/>
              <w:spacing w:before="0" w:after="0" w:line="36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138"/>
              <w:ind w:firstLine="0"/>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38"/>
              <w:ind w:firstLine="0"/>
              <w:spacing w:before="0" w:after="0" w:line="36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138"/>
              <w:ind w:firstLine="0"/>
              <w:spacing w:before="0" w:after="0" w:line="36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38"/>
              <w:ind w:firstLine="0"/>
              <w:jc w:val="center"/>
              <w:spacing w:before="0" w:after="0" w:line="36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38"/>
              <w:ind w:firstLine="0"/>
              <w:jc w:val="both"/>
              <w:spacing w:before="0" w:after="0" w:line="36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138"/>
              <w:ind w:firstLine="0"/>
              <w:spacing w:before="0" w:after="0" w:line="36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726"/>
        </w:trPr>
        <w:tc>
          <w:tcPr>
            <w:tcW w:w="719" w:type="dxa"/>
            <w:vAlign w:val="center"/>
            <w:textDirection w:val="lrTb"/>
            <w:noWrap w:val="false"/>
          </w:tcPr>
          <w:p>
            <w:pPr>
              <w:pStyle w:val="1138"/>
              <w:ind w:firstLine="0"/>
              <w:jc w:val="center"/>
              <w:spacing w:before="0" w:after="0" w:line="36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38"/>
              <w:ind w:firstLine="0"/>
              <w:spacing w:before="0" w:after="0" w:line="360" w:lineRule="auto"/>
              <w:rPr>
                <w:rFonts w:hint="eastAsia" w:ascii="宋体" w:hAnsi="宋体" w:cs="宋体"/>
                <w:bCs/>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c>
          <w:tcPr>
            <w:shd w:val="clear" w:color="auto" w:fill="auto"/>
            <w:tcW w:w="2449" w:type="dxa"/>
            <w:vAlign w:val="center"/>
            <w:textDirection w:val="lrTb"/>
            <w:noWrap w:val="false"/>
          </w:tcPr>
          <w:p>
            <w:pPr>
              <w:pStyle w:val="1138"/>
              <w:ind w:firstLine="0"/>
              <w:spacing w:before="0" w:after="0" w:line="240" w:lineRule="auto"/>
              <w:rPr>
                <w:rFonts w:hint="eastAsia" w:ascii="宋体" w:hAnsi="宋体" w:eastAsia="宋体" w:cs="宋体"/>
                <w:color w:val="auto"/>
                <w:sz w:val="24"/>
                <w:szCs w:val="24"/>
                <w:highlight w:val="none"/>
              </w:rPr>
            </w:pPr>
            <w:r>
              <w:rPr>
                <w:rFonts w:hint="eastAsia" w:ascii="宋体" w:hAnsi="宋体"/>
                <w:color w:val="auto"/>
                <w:highlight w:val="none"/>
              </w:rPr>
              <w:t xml:space="preserve">如接受联合体投标且投标人为联合体时</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9"/>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8"/>
              <w:ind w:firstLine="0"/>
              <w:jc w:val="center"/>
              <w:spacing w:before="0" w:after="0" w:line="36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38"/>
              <w:ind w:firstLine="0"/>
              <w:jc w:val="center"/>
              <w:spacing w:before="0" w:after="0" w:line="36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38"/>
              <w:ind w:firstLine="0"/>
              <w:jc w:val="center"/>
              <w:spacing w:before="0" w:after="0" w:line="36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38"/>
              <w:ind w:firstLine="0"/>
              <w:jc w:val="both"/>
              <w:spacing w:before="0" w:after="0" w:line="36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38"/>
              <w:ind w:firstLine="0"/>
              <w:jc w:val="both"/>
              <w:spacing w:before="0" w:after="0" w:line="36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38"/>
              <w:ind w:firstLine="0"/>
              <w:jc w:val="both"/>
              <w:spacing w:before="0" w:after="0" w:line="36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3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38"/>
              <w:ind w:firstLine="0"/>
              <w:jc w:val="both"/>
              <w:spacing w:before="0" w:after="0" w:line="36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3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38"/>
              <w:ind w:firstLine="0"/>
              <w:jc w:val="both"/>
              <w:spacing w:before="0" w:after="0" w:line="36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3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38"/>
              <w:ind w:firstLine="0"/>
              <w:jc w:val="both"/>
              <w:spacing w:before="0" w:after="0" w:line="36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3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38"/>
              <w:ind w:firstLine="0"/>
              <w:jc w:val="both"/>
              <w:spacing w:before="0" w:after="0" w:line="360" w:lineRule="auto"/>
              <w:rPr>
                <w:rFonts w:hint="eastAsia" w:ascii="宋体" w:hAnsi="宋体" w:eastAsia="宋体"/>
                <w:color w:val="auto"/>
                <w:highlight w:val="none"/>
                <w:lang w:eastAsia="zh-CN"/>
              </w:rPr>
            </w:pPr>
            <w:r>
              <w:rPr>
                <w:rFonts w:hint="eastAsia" w:ascii="宋体" w:hAnsi="宋体"/>
                <w:color w:val="auto"/>
                <w:highlight w:val="none"/>
              </w:rPr>
              <w:t xml:space="preserve">《采购需求》中要求提供的证明文件</w:t>
            </w:r>
            <w:r>
              <w:rPr>
                <w:rFonts w:hint="eastAsia" w:ascii="宋体" w:hAnsi="宋体"/>
                <w:color w:val="auto"/>
                <w:highlight w:val="none"/>
                <w:lang w:eastAsia="zh-CN"/>
              </w:rPr>
              <w:t xml:space="preserve">（</w:t>
            </w:r>
            <w:r>
              <w:rPr>
                <w:rFonts w:hint="eastAsia" w:ascii="宋体" w:hAnsi="宋体"/>
                <w:color w:val="auto"/>
                <w:highlight w:val="none"/>
              </w:rPr>
              <w:t xml:space="preserve">如有</w:t>
            </w:r>
            <w:r>
              <w:rPr>
                <w:rFonts w:hint="eastAsia" w:ascii="宋体" w:hAnsi="宋体"/>
                <w:color w:val="auto"/>
                <w:highlight w:val="none"/>
                <w:lang w:eastAsia="zh-CN"/>
              </w:rPr>
              <w:t xml:space="preserve">）</w:t>
            </w:r>
            <w:r/>
          </w:p>
        </w:tc>
        <w:tc>
          <w:tcPr>
            <w:tcW w:w="1979" w:type="dxa"/>
            <w:vAlign w:val="center"/>
            <w:vMerge w:val="continue"/>
            <w:textDirection w:val="lrTb"/>
            <w:noWrap w:val="false"/>
          </w:tcPr>
          <w:p>
            <w:pPr>
              <w:pStyle w:val="113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38"/>
              <w:ind w:firstLine="0"/>
              <w:jc w:val="both"/>
              <w:spacing w:before="0" w:after="0" w:line="36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38"/>
              <w:ind w:firstLine="0"/>
              <w:jc w:val="both"/>
              <w:spacing w:before="0" w:after="0" w:line="36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38"/>
              <w:ind w:firstLine="0"/>
              <w:jc w:val="center"/>
              <w:spacing w:before="0" w:after="0"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8</w:t>
            </w:r>
            <w:r/>
          </w:p>
        </w:tc>
        <w:tc>
          <w:tcPr>
            <w:tcW w:w="6095" w:type="dxa"/>
            <w:vAlign w:val="center"/>
            <w:textDirection w:val="lrTb"/>
            <w:noWrap w:val="false"/>
          </w:tcPr>
          <w:p>
            <w:pPr>
              <w:pStyle w:val="1138"/>
              <w:ind w:firstLine="0"/>
              <w:jc w:val="both"/>
              <w:spacing w:before="0" w:after="0" w:line="36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38"/>
              <w:ind w:firstLine="0"/>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38"/>
        <w:ind w:firstLine="0"/>
        <w:spacing w:before="0" w:after="0" w:line="360" w:lineRule="auto"/>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投</w:t>
      </w:r>
      <w:r/>
    </w:p>
    <w:p>
      <w:pPr>
        <w:jc w:val="center"/>
        <w:spacing w:line="360" w:lineRule="auto"/>
        <w:rPr>
          <w:rFonts w:asciiTheme="minorEastAsia" w:hAnsiTheme="minorEastAsia"/>
          <w:bCs/>
          <w:color w:val="auto"/>
          <w:sz w:val="72"/>
          <w:highlight w:val="none"/>
        </w:rPr>
      </w:pPr>
      <w:r>
        <w:rPr>
          <w:rFonts w:asciiTheme="minorEastAsia" w:hAnsiTheme="minorEastAsia"/>
          <w:bCs/>
          <w:color w:val="auto"/>
          <w:sz w:val="7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标</w:t>
      </w:r>
      <w:r/>
    </w:p>
    <w:p>
      <w:pPr>
        <w:jc w:val="center"/>
        <w:spacing w:line="360" w:lineRule="auto"/>
        <w:rPr>
          <w:rFonts w:asciiTheme="minorEastAsia" w:hAnsiTheme="minorEastAsia"/>
          <w:bCs/>
          <w:color w:val="auto"/>
          <w:sz w:val="72"/>
          <w:highlight w:val="none"/>
        </w:rPr>
      </w:pPr>
      <w:r>
        <w:rPr>
          <w:rFonts w:asciiTheme="minorEastAsia" w:hAnsiTheme="minorEastAsia"/>
          <w:bCs/>
          <w:color w:val="auto"/>
          <w:sz w:val="7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文</w:t>
      </w:r>
      <w:r/>
    </w:p>
    <w:p>
      <w:pPr>
        <w:jc w:val="center"/>
        <w:spacing w:line="360" w:lineRule="auto"/>
        <w:rPr>
          <w:rFonts w:asciiTheme="minorEastAsia" w:hAnsiTheme="minorEastAsia"/>
          <w:bCs/>
          <w:color w:val="auto"/>
          <w:sz w:val="52"/>
          <w:szCs w:val="52"/>
          <w:highlight w:val="none"/>
        </w:rPr>
      </w:pPr>
      <w:r>
        <w:rPr>
          <w:rFonts w:asciiTheme="minorEastAsia" w:hAnsiTheme="minorEastAsia"/>
          <w:bCs/>
          <w:color w:val="auto"/>
          <w:sz w:val="52"/>
          <w:szCs w:val="5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件</w:t>
      </w:r>
      <w:r/>
    </w:p>
    <w:p>
      <w:pPr>
        <w:spacing w:line="360" w:lineRule="auto"/>
        <w:rPr>
          <w:rFonts w:asciiTheme="minorEastAsia" w:hAnsiTheme="minorEastAsia"/>
          <w:bCs/>
          <w:color w:val="auto"/>
          <w:sz w:val="28"/>
          <w:highlight w:val="none"/>
        </w:rPr>
      </w:pPr>
      <w:r>
        <w:rPr>
          <w:rFonts w:asciiTheme="minorEastAsia" w:hAnsiTheme="minorEastAsia"/>
          <w:bCs/>
          <w:color w:val="auto"/>
          <w:sz w:val="28"/>
          <w:highlight w:val="none"/>
        </w:rPr>
      </w:r>
      <w:r/>
    </w:p>
    <w:p>
      <w:pPr>
        <w:ind w:firstLine="2715"/>
        <w:spacing w:line="360" w:lineRule="auto"/>
        <w:rPr>
          <w:rFonts w:asciiTheme="minorEastAsia" w:hAnsiTheme="minorEastAsia"/>
          <w:bCs/>
          <w:color w:val="auto"/>
          <w:sz w:val="28"/>
          <w:szCs w:val="28"/>
          <w:highlight w:val="none"/>
        </w:rPr>
      </w:pPr>
      <w:r/>
      <w:bookmarkStart w:id="155" w:name="_Hlk165208193"/>
      <w:r>
        <w:rPr>
          <w:rFonts w:hint="eastAsia" w:asciiTheme="minorEastAsia" w:hAnsiTheme="minorEastAsia"/>
          <w:bCs/>
          <w:color w:val="auto"/>
          <w:sz w:val="28"/>
          <w:szCs w:val="28"/>
          <w:highlight w:val="none"/>
        </w:rPr>
        <w:t xml:space="preserve">采购项目编号： </w:t>
      </w:r>
      <w:r/>
    </w:p>
    <w:p>
      <w:pPr>
        <w:ind w:firstLine="2703"/>
        <w:spacing w:line="360" w:lineRule="auto"/>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r/>
    </w:p>
    <w:p>
      <w:pPr>
        <w:ind w:firstLine="2703"/>
        <w:spacing w:line="360" w:lineRule="auto"/>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r/>
    </w:p>
    <w:p>
      <w:pPr>
        <w:jc w:val="center"/>
        <w:spacing w:line="360" w:lineRule="auto"/>
        <w:rPr>
          <w:rFonts w:asciiTheme="minorEastAsia" w:hAnsiTheme="minorEastAsia"/>
          <w:bCs/>
          <w:color w:val="auto"/>
          <w:sz w:val="36"/>
          <w:szCs w:val="36"/>
          <w:highlight w:val="none"/>
        </w:rPr>
      </w:pPr>
      <w:r>
        <w:rPr>
          <w:rFonts w:asciiTheme="minorEastAsia" w:hAnsiTheme="minorEastAsia"/>
          <w:bCs/>
          <w:color w:val="auto"/>
          <w:sz w:val="36"/>
          <w:szCs w:val="36"/>
          <w:highlight w:val="none"/>
        </w:rPr>
      </w:r>
      <w:r/>
    </w:p>
    <w:p>
      <w:pPr>
        <w:jc w:val="center"/>
        <w:spacing w:line="360" w:lineRule="auto"/>
        <w:rPr>
          <w:rFonts w:asciiTheme="minorEastAsia" w:hAnsiTheme="minorEastAsia"/>
          <w:bCs/>
          <w:color w:val="auto"/>
          <w:sz w:val="40"/>
          <w:szCs w:val="40"/>
          <w:highlight w:val="none"/>
        </w:rPr>
      </w:pPr>
      <w:r>
        <w:rPr>
          <w:rFonts w:asciiTheme="minorEastAsia" w:hAnsiTheme="minorEastAsia"/>
          <w:bCs/>
          <w:color w:val="auto"/>
          <w:sz w:val="40"/>
          <w:szCs w:val="40"/>
          <w:highlight w:val="none"/>
        </w:rPr>
      </w:r>
      <w:r/>
    </w:p>
    <w:p>
      <w:pPr>
        <w:jc w:val="center"/>
        <w:spacing w:line="360" w:lineRule="auto"/>
        <w:rPr>
          <w:rFonts w:asciiTheme="minorEastAsia" w:hAnsiTheme="minorEastAsia"/>
          <w:bCs/>
          <w:color w:val="auto"/>
          <w:sz w:val="28"/>
          <w:szCs w:val="28"/>
          <w:highlight w:val="none"/>
        </w:rPr>
        <w:outlineLvl w:val="0"/>
      </w:pPr>
      <w:r>
        <w:rPr>
          <w:rFonts w:hint="eastAsia" w:asciiTheme="minorEastAsia" w:hAnsiTheme="minorEastAsia"/>
          <w:bCs/>
          <w:color w:val="auto"/>
          <w:sz w:val="28"/>
          <w:szCs w:val="28"/>
          <w:highlight w:val="none"/>
        </w:rPr>
        <w:t xml:space="preserve">20   年   月</w:t>
      </w:r>
      <w:bookmarkEnd w:id="155"/>
      <w:r/>
      <w:r/>
    </w:p>
    <w:p>
      <w:pPr>
        <w:spacing w:line="360" w:lineRule="auto"/>
        <w:rPr>
          <w:rFonts w:asciiTheme="minorEastAsia" w:hAnsiTheme="minorEastAsia"/>
          <w:bCs/>
          <w:color w:val="auto"/>
          <w:sz w:val="24"/>
          <w:szCs w:val="24"/>
          <w:highlight w:val="none"/>
        </w:rPr>
        <w:outlineLvl w:val="0"/>
      </w:pPr>
      <w:r>
        <w:rPr>
          <w:rFonts w:asciiTheme="minorEastAsia" w:hAnsiTheme="minorEastAsia"/>
          <w:bCs/>
          <w:color w:val="auto"/>
          <w:sz w:val="24"/>
          <w:szCs w:val="24"/>
          <w:highlight w:val="none"/>
        </w:rPr>
      </w:r>
      <w:r/>
    </w:p>
    <w:p>
      <w:pPr>
        <w:spacing w:line="360" w:lineRule="auto"/>
        <w:rPr>
          <w:rFonts w:asciiTheme="minorEastAsia" w:hAnsiTheme="minorEastAsia"/>
          <w:color w:val="auto"/>
          <w:sz w:val="24"/>
          <w:szCs w:val="24"/>
          <w:highlight w:val="none"/>
        </w:rPr>
        <w:outlineLvl w:val="0"/>
      </w:pPr>
      <w:r>
        <w:rPr>
          <w:rFonts w:asciiTheme="minorEastAsia" w:hAnsiTheme="minorEastAsia"/>
          <w:color w:val="auto"/>
          <w:sz w:val="24"/>
          <w:szCs w:val="24"/>
          <w:highlight w:val="none"/>
        </w:rPr>
      </w:r>
      <w:r/>
    </w:p>
    <w:p>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r/>
    </w:p>
    <w:p>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 xml:space="preserve">江苏融智建工程咨询有限公司</w:t>
      </w:r>
      <w:r>
        <w:rPr>
          <w:rFonts w:hint="eastAsia" w:ascii="宋体" w:hAnsi="宋体" w:eastAsia="宋体" w:cs="宋体"/>
          <w:color w:val="auto"/>
          <w:sz w:val="24"/>
          <w:highlight w:val="none"/>
          <w:u w:val="singl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 xml:space="preserve">系中华人民共和国合法企业，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代表我公司（单位）全权办理针对本项目（</w:t>
      </w:r>
      <w:r>
        <w:rPr>
          <w:rFonts w:hint="eastAsia" w:ascii="宋体" w:hAnsi="宋体" w:eastAsia="宋体" w:cs="宋体"/>
          <w:color w:val="auto"/>
          <w:sz w:val="24"/>
          <w:highlight w:val="none"/>
          <w:lang w:val="en-US" w:eastAsia="zh-CN"/>
        </w:rPr>
        <w:t xml:space="preserve">采购项目编号</w:t>
      </w:r>
      <w:r>
        <w:rPr>
          <w:rFonts w:hint="eastAsia" w:ascii="宋体" w:hAnsi="宋体" w:cs="宋体"/>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eastAsia="宋体" w:cs="宋体"/>
          <w:color w:val="auto"/>
          <w:sz w:val="24"/>
          <w:highlight w:val="none"/>
          <w:lang w:val="en-US" w:eastAsia="zh-CN"/>
        </w:rPr>
        <w:t xml:space="preserve">报价</w:t>
      </w:r>
      <w:r>
        <w:rPr>
          <w:rFonts w:hint="eastAsia" w:ascii="宋体" w:hAnsi="宋体" w:cs="宋体"/>
          <w:color w:val="auto"/>
          <w:sz w:val="24"/>
          <w:highlight w:val="none"/>
        </w:rPr>
        <w:t xml:space="preserve">等具体工作，并签署全部有关的文件、协议及合同。</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52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w:t>
      </w:r>
      <w:r/>
    </w:p>
    <w:p>
      <w:pPr>
        <w:ind w:firstLine="52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通讯地址：</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单位名称（盖章）：</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r/>
    </w:p>
    <w:p>
      <w:pPr>
        <w:ind w:firstLine="3120"/>
        <w:spacing w:line="360" w:lineRule="auto"/>
        <w:rPr>
          <w:rFonts w:hint="eastAsia"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 xml:space="preserve">年     月     日</w:t>
      </w:r>
      <w:r/>
    </w:p>
    <w:tbl>
      <w:tblPr>
        <w:tblStyle w:val="75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642"/>
        <w:gridCol w:w="4677"/>
      </w:tblGrid>
      <w:tr>
        <w:trPr>
          <w:trHeight w:val="2820"/>
        </w:trPr>
        <w:tc>
          <w:tcPr>
            <w:tcW w:w="4680" w:type="dxa"/>
            <w:vAlign w:val="top"/>
            <w:textDirection w:val="lrTb"/>
            <w:noWrap w:val="false"/>
          </w:tcPr>
          <w:p>
            <w:pPr>
              <w:spacing w:before="4" w:line="360" w:lineRule="auto"/>
              <w:widowControl/>
              <w:rPr>
                <w:rFonts w:hint="eastAsia" w:hAnsi="宋体" w:cs="宋体"/>
                <w:color w:val="auto"/>
                <w:sz w:val="24"/>
                <w:highlight w:val="none"/>
              </w:rPr>
            </w:pPr>
            <w:r>
              <w:rPr>
                <w:rFonts w:hint="eastAsia" w:hAnsi="宋体" w:cs="宋体"/>
                <w:color w:val="auto"/>
                <w:sz w:val="24"/>
                <w:highlight w:val="none"/>
              </w:rPr>
            </w:r>
            <w:r/>
          </w:p>
          <w:p>
            <w:pPr>
              <w:spacing w:before="4" w:line="360" w:lineRule="auto"/>
              <w:widowControl/>
              <w:rPr>
                <w:rFonts w:hint="eastAsia" w:hAnsi="宋体" w:cs="宋体"/>
                <w:color w:val="auto"/>
                <w:sz w:val="24"/>
                <w:highlight w:val="none"/>
              </w:rPr>
            </w:pPr>
            <w:r>
              <w:rPr>
                <w:rFonts w:hint="eastAsia" w:hAnsi="宋体" w:cs="宋体"/>
                <w:color w:val="auto"/>
                <w:sz w:val="24"/>
                <w:highlight w:val="none"/>
              </w:rPr>
            </w:r>
            <w:r/>
          </w:p>
          <w:p>
            <w:pPr>
              <w:jc w:val="center"/>
              <w:spacing w:before="4" w:line="360" w:lineRule="auto"/>
              <w:widowControl/>
              <w:rPr>
                <w:rFonts w:hint="eastAsia" w:hAnsi="宋体" w:cs="宋体"/>
                <w:color w:val="auto"/>
                <w:sz w:val="24"/>
                <w:highlight w:val="none"/>
              </w:rPr>
            </w:pPr>
            <w:r>
              <w:rPr>
                <w:rFonts w:hint="eastAsia" w:hAnsi="宋体" w:cs="宋体"/>
                <w:color w:val="auto"/>
                <w:sz w:val="24"/>
                <w:highlight w:val="none"/>
              </w:rPr>
              <w:t xml:space="preserve">法定代表人身份证复印件</w:t>
            </w:r>
            <w:r/>
          </w:p>
        </w:tc>
        <w:tc>
          <w:tcPr>
            <w:tcBorders>
              <w:top w:val="none" w:color="000000" w:sz="4" w:space="0"/>
              <w:bottom w:val="none" w:color="000000" w:sz="4" w:space="0"/>
            </w:tcBorders>
            <w:tcW w:w="642" w:type="dxa"/>
            <w:vAlign w:val="top"/>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r>
            <w:r/>
          </w:p>
        </w:tc>
        <w:tc>
          <w:tcPr>
            <w:tcW w:w="4677" w:type="dxa"/>
            <w:vAlign w:val="top"/>
            <w:textDirection w:val="lrTb"/>
            <w:noWrap w:val="false"/>
          </w:tcPr>
          <w:p>
            <w:pPr>
              <w:spacing w:before="4" w:line="360" w:lineRule="auto"/>
              <w:widowControl/>
              <w:rPr>
                <w:rFonts w:hint="eastAsia" w:hAnsi="宋体" w:cs="宋体"/>
                <w:color w:val="auto"/>
                <w:sz w:val="24"/>
                <w:highlight w:val="none"/>
              </w:rPr>
            </w:pPr>
            <w:r>
              <w:rPr>
                <w:rFonts w:hint="eastAsia" w:hAnsi="宋体" w:cs="宋体"/>
                <w:color w:val="auto"/>
                <w:sz w:val="24"/>
                <w:highlight w:val="none"/>
              </w:rPr>
            </w:r>
            <w:r/>
          </w:p>
          <w:p>
            <w:pPr>
              <w:spacing w:before="4" w:line="360" w:lineRule="auto"/>
              <w:widowControl/>
              <w:rPr>
                <w:rFonts w:hint="eastAsia" w:hAnsi="宋体" w:cs="宋体"/>
                <w:color w:val="auto"/>
                <w:sz w:val="24"/>
                <w:highlight w:val="none"/>
              </w:rPr>
            </w:pPr>
            <w:r>
              <w:rPr>
                <w:rFonts w:hint="eastAsia" w:hAnsi="宋体" w:cs="宋体"/>
                <w:color w:val="auto"/>
                <w:sz w:val="24"/>
                <w:highlight w:val="none"/>
              </w:rPr>
            </w:r>
            <w:r/>
          </w:p>
          <w:p>
            <w:pPr>
              <w:jc w:val="center"/>
              <w:spacing w:before="4" w:line="360" w:lineRule="auto"/>
              <w:widowControl/>
              <w:rPr>
                <w:rFonts w:hint="eastAsia" w:hAnsi="宋体" w:cs="宋体"/>
                <w:color w:val="auto"/>
                <w:sz w:val="24"/>
                <w:highlight w:val="none"/>
              </w:rPr>
            </w:pPr>
            <w:r>
              <w:rPr>
                <w:rFonts w:hint="eastAsia" w:hAnsi="宋体" w:cs="宋体"/>
                <w:color w:val="auto"/>
                <w:sz w:val="24"/>
                <w:highlight w:val="none"/>
              </w:rPr>
              <w:t xml:space="preserve">授权代表身份证复印件</w:t>
            </w:r>
            <w:r/>
          </w:p>
        </w:tc>
      </w:tr>
    </w:tbl>
    <w:p>
      <w:pPr>
        <w:pStyle w:val="1137"/>
        <w:numPr>
          <w:ilvl w:val="0"/>
          <w:numId w:val="0"/>
        </w:numPr>
        <w:spacing w:line="360" w:lineRule="auto"/>
        <w:rPr>
          <w:rFonts w:ascii="宋体" w:hAnsi="宋体"/>
          <w:color w:val="auto"/>
          <w:sz w:val="24"/>
          <w:szCs w:val="20"/>
          <w:highlight w:val="none"/>
        </w:rPr>
      </w:pPr>
      <w:r>
        <w:rPr>
          <w:rFonts w:ascii="宋体" w:hAnsi="宋体"/>
          <w:color w:val="auto"/>
          <w:sz w:val="24"/>
          <w:szCs w:val="20"/>
          <w:highlight w:val="none"/>
        </w:rPr>
      </w:r>
      <w:r/>
    </w:p>
    <w:p>
      <w:pPr>
        <w:pStyle w:val="1137"/>
        <w:ind w:firstLine="0"/>
        <w:spacing w:line="360" w:lineRule="auto"/>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spacing w:line="360" w:lineRule="auto"/>
        <w:rPr>
          <w:rFonts w:ascii="黑体" w:eastAsia="黑体"/>
          <w:bCs/>
          <w:color w:val="auto"/>
          <w:sz w:val="28"/>
          <w:szCs w:val="28"/>
          <w:highlight w:val="none"/>
        </w:rPr>
        <w:outlineLvl w:val="0"/>
      </w:pPr>
      <w:r/>
      <w:bookmarkStart w:id="156" w:name="报价方关于资格的声明函（格式）"/>
      <w:r/>
      <w:bookmarkEnd w:id="156"/>
      <w:r>
        <w:rPr>
          <w:rFonts w:hint="eastAsia" w:ascii="黑体" w:eastAsia="黑体"/>
          <w:bCs/>
          <w:color w:val="auto"/>
          <w:sz w:val="28"/>
          <w:szCs w:val="28"/>
          <w:highlight w:val="none"/>
        </w:rPr>
        <w:t xml:space="preserve">资格声明函</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 xml:space="preserve">江苏融智建工程咨询有限公司</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进行投标，并作如下声明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int="eastAsia"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w:t>
      </w:r>
      <w:r/>
    </w:p>
    <w:p>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260"/>
        <w:spacing w:line="360" w:lineRule="auto"/>
        <w:rPr>
          <w:rFonts w:hint="eastAsia"/>
          <w:color w:val="auto"/>
          <w:sz w:val="21"/>
          <w:szCs w:val="21"/>
          <w:highlight w:val="none"/>
        </w:rPr>
      </w:pPr>
      <w:r>
        <w:rPr>
          <w:rFonts w:hint="eastAsia"/>
          <w:color w:val="auto"/>
          <w:sz w:val="21"/>
          <w:szCs w:val="21"/>
          <w:highlight w:val="none"/>
        </w:rPr>
      </w:r>
      <w:r/>
    </w:p>
    <w:p>
      <w:pPr>
        <w:ind w:firstLine="260"/>
        <w:spacing w:line="360" w:lineRule="auto"/>
        <w:rPr>
          <w:rFonts w:hint="eastAsia"/>
          <w:color w:val="auto"/>
          <w:sz w:val="21"/>
          <w:szCs w:val="21"/>
          <w:highlight w:val="none"/>
        </w:rPr>
      </w:pPr>
      <w:r>
        <w:rPr>
          <w:rFonts w:hint="eastAsia"/>
          <w:color w:val="auto"/>
          <w:sz w:val="21"/>
          <w:szCs w:val="21"/>
          <w:highlight w:val="none"/>
        </w:rPr>
        <w:t xml:space="preserve">注：（1）</w:t>
      </w:r>
      <w:r>
        <w:rPr>
          <w:rFonts w:hint="eastAsia" w:eastAsia="宋体"/>
          <w:color w:val="auto"/>
          <w:sz w:val="21"/>
          <w:szCs w:val="21"/>
          <w:highlight w:val="none"/>
          <w:lang w:val="en-US" w:eastAsia="zh-CN"/>
        </w:rPr>
        <w:t xml:space="preserve">采购需求</w:t>
      </w:r>
      <w:r>
        <w:rPr>
          <w:rFonts w:hint="eastAsia"/>
          <w:color w:val="auto"/>
          <w:sz w:val="21"/>
          <w:szCs w:val="21"/>
          <w:highlight w:val="none"/>
        </w:rPr>
        <w:t xml:space="preserve">中如对本项目标的及其所属行业进行逐一列明的，投标人须根据</w:t>
      </w:r>
      <w:r>
        <w:rPr>
          <w:rFonts w:hint="eastAsia" w:eastAsia="宋体"/>
          <w:color w:val="auto"/>
          <w:sz w:val="21"/>
          <w:szCs w:val="21"/>
          <w:highlight w:val="none"/>
          <w:lang w:val="en-US" w:eastAsia="zh-CN"/>
        </w:rPr>
        <w:t xml:space="preserve">采购需求</w:t>
      </w:r>
      <w:r>
        <w:rPr>
          <w:rFonts w:hint="eastAsia"/>
          <w:color w:val="auto"/>
          <w:sz w:val="21"/>
          <w:szCs w:val="21"/>
          <w:highlight w:val="none"/>
        </w:rPr>
        <w:t xml:space="preserve">中所列明的标的及其所属行业逐一进行填报。根据本《中小企业声明函》类型，项目属性为货物类的，只需按</w:t>
      </w:r>
      <w:r>
        <w:rPr>
          <w:rFonts w:hint="eastAsia" w:eastAsia="宋体"/>
          <w:color w:val="auto"/>
          <w:sz w:val="21"/>
          <w:szCs w:val="21"/>
          <w:highlight w:val="none"/>
          <w:lang w:val="en-US" w:eastAsia="zh-CN"/>
        </w:rPr>
        <w:t xml:space="preserve">采购需求</w:t>
      </w:r>
      <w:r>
        <w:rPr>
          <w:rFonts w:hint="eastAsia"/>
          <w:color w:val="auto"/>
          <w:sz w:val="21"/>
          <w:szCs w:val="21"/>
          <w:highlight w:val="none"/>
        </w:rPr>
        <w:t xml:space="preserve">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260"/>
        <w:spacing w:line="360" w:lineRule="auto"/>
        <w:rPr>
          <w:color w:val="auto"/>
          <w:sz w:val="21"/>
          <w:szCs w:val="21"/>
          <w:highlight w:val="none"/>
        </w:rPr>
      </w:pPr>
      <w:r>
        <w:rPr>
          <w:rFonts w:hint="eastAsia"/>
          <w:color w:val="auto"/>
          <w:sz w:val="21"/>
          <w:szCs w:val="21"/>
          <w:highlight w:val="none"/>
        </w:rPr>
        <w:t xml:space="preserve">（2）从业人员、营业收入、资产总额填报上一年度数据，无上一年度数据的新成立企业可不填报。</w:t>
      </w:r>
      <w:r/>
    </w:p>
    <w:p>
      <w:pPr>
        <w:ind w:firstLine="260"/>
        <w:spacing w:line="360" w:lineRule="auto"/>
        <w:rPr>
          <w:rFonts w:hint="eastAsia"/>
          <w:color w:val="auto"/>
          <w:sz w:val="21"/>
          <w:szCs w:val="21"/>
          <w:highlight w:val="none"/>
        </w:rPr>
      </w:pPr>
      <w:r>
        <w:rPr>
          <w:rFonts w:hint="eastAsia"/>
          <w:color w:val="auto"/>
          <w:sz w:val="21"/>
          <w:szCs w:val="21"/>
          <w:highlight w:val="none"/>
        </w:rPr>
        <w:t xml:space="preserve">（3）在货物采购项目中，供应商提供的货物既有中小企业制造货物，也有大型企业制造货物的，不享受本办法规定的中小企业扶持政策。</w:t>
      </w:r>
      <w:r/>
    </w:p>
    <w:p>
      <w:pPr>
        <w:ind w:firstLine="260"/>
        <w:spacing w:line="360" w:lineRule="auto"/>
        <w:rPr>
          <w:color w:val="auto"/>
          <w:highlight w:val="none"/>
        </w:rPr>
      </w:pPr>
      <w:r>
        <w:rPr>
          <w:rFonts w:hint="eastAsia"/>
          <w:color w:val="auto"/>
          <w:sz w:val="21"/>
          <w:szCs w:val="21"/>
          <w:highlight w:val="none"/>
        </w:rPr>
        <w:t xml:space="preserve">（4）中标供应商的《</w:t>
      </w:r>
      <w:r>
        <w:rPr>
          <w:color w:val="auto"/>
          <w:sz w:val="21"/>
          <w:szCs w:val="21"/>
          <w:highlight w:val="none"/>
        </w:rPr>
        <w:t xml:space="preserve">中小企业声明函</w:t>
      </w:r>
      <w:r>
        <w:rPr>
          <w:rFonts w:hint="eastAsia"/>
          <w:color w:val="auto"/>
          <w:sz w:val="21"/>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auto"/>
          <w:highlight w:val="none"/>
        </w:rPr>
        <w:t xml:space="preserve">。</w:t>
      </w:r>
      <w:r/>
    </w:p>
    <w:p>
      <w:pPr>
        <w:spacing w:line="360" w:lineRule="auto"/>
        <w:rPr>
          <w:b/>
          <w:bCs/>
          <w:color w:val="auto"/>
          <w:sz w:val="28"/>
          <w:szCs w:val="28"/>
          <w:highlight w:val="none"/>
        </w:rPr>
      </w:pPr>
      <w:r>
        <w:rPr>
          <w:b/>
          <w:bCs/>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lang w:eastAsia="zh-CN"/>
        </w:rPr>
        <w:t xml:space="preserve">江苏融智建工程咨询有限公司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130"/>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lang w:eastAsia="zh-CN"/>
        </w:rPr>
        <w:t xml:space="preserve">江苏融智建工程咨询有限公司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eastAsia="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5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eastAsia="宋体"/>
                <w:b/>
                <w:bCs/>
                <w:color w:val="auto"/>
                <w:sz w:val="24"/>
                <w:szCs w:val="24"/>
                <w:highlight w:val="none"/>
                <w:lang w:eastAsia="zh-CN"/>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871"/>
              <w:jc w:val="center"/>
              <w:spacing w:line="360" w:lineRule="auto"/>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871"/>
              <w:spacing w:line="360" w:lineRule="auto"/>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ascii="宋体" w:hAns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rPr>
          <w:rFonts w:ascii="宋体" w:hAnsi="宋体"/>
          <w:color w:val="auto"/>
          <w:sz w:val="24"/>
          <w:highlight w:val="none"/>
        </w:rPr>
      </w:pPr>
      <w:r/>
      <w:bookmarkStart w:id="157" w:name="_Hlk165208335"/>
      <w:r>
        <w:rPr>
          <w:rFonts w:hint="eastAsia" w:ascii="宋体" w:hAnsi="宋体"/>
          <w:color w:val="auto"/>
          <w:sz w:val="24"/>
          <w:highlight w:val="none"/>
        </w:rPr>
        <w:t xml:space="preserve">填写说明：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开标一览表中的内容应与投标函内容一致，否则评标时一律按开标一览表中内容为准，开标一览表中必须盖章或签字。</w:t>
      </w:r>
      <w:bookmarkEnd w:id="157"/>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Start w:id="158" w:name="_Toc120614284"/>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5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673"/>
        <w:gridCol w:w="646"/>
        <w:gridCol w:w="903"/>
        <w:gridCol w:w="925"/>
        <w:gridCol w:w="1368"/>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673" w:type="dxa"/>
            <w:vAlign w:val="center"/>
            <w:textDirection w:val="lrTb"/>
            <w:noWrap w:val="false"/>
          </w:tcPr>
          <w:p>
            <w:pPr>
              <w:jc w:val="center"/>
              <w:spacing w:before="5"/>
              <w:rPr>
                <w:rFonts w:hint="default" w:eastAsia="宋体"/>
                <w:color w:val="auto"/>
                <w:sz w:val="18"/>
                <w:highlight w:val="none"/>
                <w:lang w:val="en-US" w:eastAsia="zh-CN"/>
              </w:rPr>
            </w:pPr>
            <w:r>
              <w:rPr>
                <w:rFonts w:hint="eastAsia" w:eastAsia="宋体"/>
                <w:color w:val="auto"/>
                <w:sz w:val="18"/>
                <w:highlight w:val="none"/>
                <w:lang w:val="en-US" w:eastAsia="zh-CN"/>
              </w:rPr>
              <w:t xml:space="preserve">单位</w:t>
            </w:r>
            <w:r/>
          </w:p>
        </w:tc>
        <w:tc>
          <w:tcPr>
            <w:tcW w:w="646" w:type="dxa"/>
            <w:vAlign w:val="center"/>
            <w:textDirection w:val="lrTb"/>
            <w:noWrap w:val="false"/>
          </w:tcPr>
          <w:p>
            <w:pPr>
              <w:jc w:val="center"/>
              <w:spacing w:before="5"/>
              <w:rPr>
                <w:rFonts w:hint="default" w:eastAsia="宋体"/>
                <w:color w:val="auto"/>
                <w:sz w:val="18"/>
                <w:highlight w:val="none"/>
                <w:lang w:val="en-US" w:eastAsia="zh-CN"/>
              </w:rPr>
            </w:pPr>
            <w:r>
              <w:rPr>
                <w:rFonts w:hint="eastAsia" w:eastAsia="宋体"/>
                <w:color w:val="auto"/>
                <w:sz w:val="18"/>
                <w:highlight w:val="none"/>
                <w:lang w:val="en-US" w:eastAsia="zh-CN"/>
              </w:rPr>
              <w:t xml:space="preserve">数量</w:t>
            </w:r>
            <w:r/>
          </w:p>
        </w:tc>
        <w:tc>
          <w:tcPr>
            <w:tcMar>
              <w:left w:w="15" w:type="dxa"/>
              <w:top w:w="15" w:type="dxa"/>
              <w:right w:w="15" w:type="dxa"/>
              <w:bottom w:w="0" w:type="dxa"/>
            </w:tcMar>
            <w:tcW w:w="903" w:type="dxa"/>
            <w:vAlign w:val="center"/>
            <w:textDirection w:val="lrTb"/>
            <w:noWrap/>
          </w:tcPr>
          <w:p>
            <w:pPr>
              <w:jc w:val="center"/>
              <w:spacing w:before="5"/>
              <w:rPr>
                <w:color w:val="auto"/>
                <w:sz w:val="18"/>
                <w:highlight w:val="none"/>
              </w:rPr>
            </w:pPr>
            <w:r>
              <w:rPr>
                <w:rFonts w:hint="eastAsia"/>
                <w:color w:val="auto"/>
                <w:sz w:val="18"/>
                <w:highlight w:val="none"/>
              </w:rPr>
              <w:t xml:space="preserve">产地</w:t>
            </w:r>
            <w:r/>
          </w:p>
        </w:tc>
        <w:tc>
          <w:tcPr>
            <w:tcW w:w="92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1368"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106"/>
              <w:spacing w:before="5"/>
              <w:tabs>
                <w:tab w:val="clear" w:pos="4153" w:leader="none"/>
                <w:tab w:val="clear" w:pos="8306" w:leader="none"/>
              </w:tabs>
              <w:rPr>
                <w:rFonts w:ascii="宋体"/>
                <w:color w:val="auto"/>
                <w:highlight w:val="none"/>
                <w:lang w:val="en-US" w:eastAsia="zh-CN"/>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lang w:val="en-US" w:eastAsia="zh-CN"/>
              </w:rPr>
            </w:pPr>
            <w:r>
              <w:rPr>
                <w:rFonts w:ascii="宋体"/>
                <w:color w:val="auto"/>
                <w:highlight w:val="none"/>
                <w:lang w:val="en-US" w:eastAsia="zh-CN"/>
              </w:rPr>
            </w:r>
            <w:r/>
          </w:p>
        </w:tc>
        <w:tc>
          <w:tcPr>
            <w:tcMar>
              <w:left w:w="15" w:type="dxa"/>
              <w:top w:w="15" w:type="dxa"/>
              <w:right w:w="15" w:type="dxa"/>
              <w:bottom w:w="0" w:type="dxa"/>
            </w:tcMar>
            <w:tcW w:w="945" w:type="dxa"/>
            <w:vAlign w:val="center"/>
            <w:textDirection w:val="lrTb"/>
            <w:noWrap w:val="false"/>
          </w:tcPr>
          <w:p>
            <w:pPr>
              <w:jc w:val="center"/>
              <w:rPr>
                <w:rFonts w:ascii="宋体"/>
                <w:color w:val="auto"/>
                <w:highlight w:val="none"/>
                <w:lang w:val="en-US" w:eastAsia="zh-CN"/>
              </w:rPr>
            </w:pPr>
            <w:r>
              <w:rPr>
                <w:rFonts w:ascii="宋体"/>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673" w:type="dxa"/>
            <w:vAlign w:val="center"/>
            <w:textDirection w:val="lrTb"/>
            <w:noWrap w:val="false"/>
          </w:tcPr>
          <w:p>
            <w:pPr>
              <w:jc w:val="center"/>
              <w:rPr>
                <w:rFonts w:ascii="宋体"/>
                <w:color w:val="auto"/>
                <w:highlight w:val="none"/>
              </w:rPr>
            </w:pPr>
            <w:r>
              <w:rPr>
                <w:rFonts w:hint="eastAsia" w:ascii="宋体"/>
                <w:color w:val="auto"/>
                <w:highlight w:val="none"/>
              </w:rPr>
              <w:t xml:space="preserve">　</w:t>
            </w:r>
            <w:r/>
          </w:p>
        </w:tc>
        <w:tc>
          <w:tcPr>
            <w:tcW w:w="646"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03" w:type="dxa"/>
            <w:vAlign w:val="center"/>
            <w:textDirection w:val="lrTb"/>
            <w:noWrap/>
          </w:tcPr>
          <w:p>
            <w:pPr>
              <w:jc w:val="center"/>
              <w:rPr>
                <w:rFonts w:ascii="宋体"/>
                <w:color w:val="auto"/>
                <w:highlight w:val="none"/>
              </w:rPr>
            </w:pPr>
            <w:r>
              <w:rPr>
                <w:rFonts w:hint="eastAsia" w:ascii="宋体"/>
                <w:color w:val="auto"/>
                <w:highlight w:val="none"/>
              </w:rPr>
              <w:t xml:space="preserve">　</w:t>
            </w:r>
            <w:r/>
          </w:p>
        </w:tc>
        <w:tc>
          <w:tcPr>
            <w:tcW w:w="925" w:type="dxa"/>
            <w:vAlign w:val="center"/>
            <w:textDirection w:val="lrTb"/>
            <w:noWrap w:val="false"/>
          </w:tcPr>
          <w:p>
            <w:pPr>
              <w:jc w:val="center"/>
              <w:rPr>
                <w:rFonts w:ascii="宋体"/>
                <w:color w:val="auto"/>
                <w:highlight w:val="none"/>
              </w:rPr>
            </w:pPr>
            <w:r>
              <w:rPr>
                <w:rFonts w:ascii="宋体"/>
                <w:color w:val="auto"/>
                <w:highlight w:val="none"/>
              </w:rPr>
            </w:r>
            <w:r/>
          </w:p>
        </w:tc>
        <w:tc>
          <w:tcPr>
            <w:tcW w:w="1368" w:type="dxa"/>
            <w:vAlign w:val="center"/>
            <w:textDirection w:val="lrTb"/>
            <w:noWrap w:val="false"/>
          </w:tcPr>
          <w:p>
            <w:pPr>
              <w:jc w:val="center"/>
              <w:rPr>
                <w:rFonts w:ascii="宋体"/>
                <w:color w:val="auto"/>
                <w:highlight w:val="none"/>
              </w:rPr>
            </w:pPr>
            <w:r>
              <w:rPr>
                <w:rFonts w:ascii="宋体"/>
                <w:color w:val="auto"/>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jc w:val="center"/>
              <w:rPr>
                <w:rFonts w:ascii="宋体"/>
                <w:color w:val="auto"/>
                <w:highlight w:val="none"/>
                <w:lang w:val="en-US" w:eastAsia="zh-CN"/>
              </w:rPr>
            </w:pPr>
            <w:r>
              <w:rPr>
                <w:rFonts w:ascii="宋体"/>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673" w:type="dxa"/>
            <w:vAlign w:val="center"/>
            <w:textDirection w:val="lrTb"/>
            <w:noWrap w:val="false"/>
          </w:tcPr>
          <w:p>
            <w:pPr>
              <w:jc w:val="center"/>
              <w:rPr>
                <w:rFonts w:ascii="宋体"/>
                <w:color w:val="auto"/>
                <w:highlight w:val="none"/>
              </w:rPr>
            </w:pPr>
            <w:r>
              <w:rPr>
                <w:rFonts w:hint="eastAsia" w:ascii="宋体"/>
                <w:color w:val="auto"/>
                <w:highlight w:val="none"/>
              </w:rPr>
              <w:t xml:space="preserve">　</w:t>
            </w:r>
            <w:r/>
          </w:p>
        </w:tc>
        <w:tc>
          <w:tcPr>
            <w:tcW w:w="646"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03" w:type="dxa"/>
            <w:vAlign w:val="center"/>
            <w:textDirection w:val="lrTb"/>
            <w:noWrap/>
          </w:tcPr>
          <w:p>
            <w:pPr>
              <w:jc w:val="center"/>
              <w:rPr>
                <w:rFonts w:ascii="宋体"/>
                <w:color w:val="auto"/>
                <w:highlight w:val="none"/>
              </w:rPr>
            </w:pPr>
            <w:r>
              <w:rPr>
                <w:rFonts w:hint="eastAsia" w:ascii="宋体"/>
                <w:color w:val="auto"/>
                <w:highlight w:val="none"/>
              </w:rPr>
              <w:t xml:space="preserve">　</w:t>
            </w:r>
            <w:r/>
          </w:p>
        </w:tc>
        <w:tc>
          <w:tcPr>
            <w:tcW w:w="925" w:type="dxa"/>
            <w:vAlign w:val="center"/>
            <w:textDirection w:val="lrTb"/>
            <w:noWrap w:val="false"/>
          </w:tcPr>
          <w:p>
            <w:pPr>
              <w:jc w:val="center"/>
              <w:rPr>
                <w:rFonts w:ascii="宋体"/>
                <w:color w:val="auto"/>
                <w:highlight w:val="none"/>
              </w:rPr>
            </w:pPr>
            <w:r>
              <w:rPr>
                <w:rFonts w:ascii="宋体"/>
                <w:color w:val="auto"/>
                <w:highlight w:val="none"/>
              </w:rPr>
            </w:r>
            <w:r/>
          </w:p>
        </w:tc>
        <w:tc>
          <w:tcPr>
            <w:tcW w:w="1368" w:type="dxa"/>
            <w:vAlign w:val="center"/>
            <w:textDirection w:val="lrTb"/>
            <w:noWrap w:val="false"/>
          </w:tcPr>
          <w:p>
            <w:pPr>
              <w:jc w:val="center"/>
              <w:rPr>
                <w:rFonts w:ascii="宋体"/>
                <w:color w:val="auto"/>
                <w:highlight w:val="none"/>
              </w:rPr>
            </w:pPr>
            <w:r>
              <w:rPr>
                <w:rFonts w:ascii="宋体"/>
                <w:color w:val="auto"/>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auto"/>
                <w:sz w:val="18"/>
                <w:highlight w:val="none"/>
              </w:rPr>
            </w:pPr>
            <w:r>
              <w:rPr>
                <w:rFonts w:hint="eastAsia"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hint="eastAsia"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jc w:val="center"/>
              <w:rPr>
                <w:rFonts w:ascii="宋体"/>
                <w:color w:val="auto"/>
                <w:highlight w:val="none"/>
                <w:lang w:val="en-US" w:eastAsia="zh-CN"/>
              </w:rPr>
            </w:pPr>
            <w:r>
              <w:rPr>
                <w:rFonts w:ascii="宋体"/>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673" w:type="dxa"/>
            <w:vAlign w:val="center"/>
            <w:textDirection w:val="lrTb"/>
            <w:noWrap w:val="false"/>
          </w:tcPr>
          <w:p>
            <w:pPr>
              <w:jc w:val="center"/>
              <w:rPr>
                <w:rFonts w:hint="eastAsia" w:ascii="宋体"/>
                <w:color w:val="auto"/>
                <w:highlight w:val="none"/>
              </w:rPr>
            </w:pPr>
            <w:r>
              <w:rPr>
                <w:rFonts w:hint="eastAsia" w:ascii="宋体"/>
                <w:color w:val="auto"/>
                <w:highlight w:val="none"/>
              </w:rPr>
            </w:r>
            <w:r/>
          </w:p>
        </w:tc>
        <w:tc>
          <w:tcPr>
            <w:tcW w:w="646"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03" w:type="dxa"/>
            <w:vAlign w:val="center"/>
            <w:textDirection w:val="lrTb"/>
            <w:noWrap/>
          </w:tcPr>
          <w:p>
            <w:pPr>
              <w:jc w:val="center"/>
              <w:rPr>
                <w:rFonts w:hint="eastAsia" w:ascii="宋体"/>
                <w:color w:val="auto"/>
                <w:highlight w:val="none"/>
              </w:rPr>
            </w:pPr>
            <w:r>
              <w:rPr>
                <w:rFonts w:hint="eastAsia" w:ascii="宋体"/>
                <w:color w:val="auto"/>
                <w:highlight w:val="none"/>
              </w:rPr>
            </w:r>
            <w:r/>
          </w:p>
        </w:tc>
        <w:tc>
          <w:tcPr>
            <w:tcW w:w="925" w:type="dxa"/>
            <w:vAlign w:val="center"/>
            <w:textDirection w:val="lrTb"/>
            <w:noWrap w:val="false"/>
          </w:tcPr>
          <w:p>
            <w:pPr>
              <w:jc w:val="center"/>
              <w:rPr>
                <w:rFonts w:ascii="宋体"/>
                <w:color w:val="auto"/>
                <w:highlight w:val="none"/>
              </w:rPr>
            </w:pPr>
            <w:r>
              <w:rPr>
                <w:rFonts w:ascii="宋体"/>
                <w:color w:val="auto"/>
                <w:highlight w:val="none"/>
              </w:rPr>
            </w:r>
            <w:r/>
          </w:p>
        </w:tc>
        <w:tc>
          <w:tcPr>
            <w:tcW w:w="1368" w:type="dxa"/>
            <w:vAlign w:val="center"/>
            <w:textDirection w:val="lrTb"/>
            <w:noWrap w:val="false"/>
          </w:tcPr>
          <w:p>
            <w:pPr>
              <w:jc w:val="center"/>
              <w:rPr>
                <w:rFonts w:ascii="宋体"/>
                <w:color w:val="auto"/>
                <w:highlight w:val="none"/>
              </w:rPr>
            </w:pPr>
            <w:r>
              <w:rPr>
                <w:rFonts w:ascii="宋体"/>
                <w:color w:val="auto"/>
                <w:highlight w:val="none"/>
              </w:rPr>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360" w:lineRule="auto"/>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 </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firstLine="480"/>
        <w:jc w:val="left"/>
        <w:spacing w:line="500" w:lineRule="exact"/>
        <w:rPr>
          <w:rFonts w:ascii="宋体" w:hAnsi="宋体"/>
          <w:color w:val="auto"/>
          <w:sz w:val="24"/>
          <w:highlight w:val="none"/>
        </w:rPr>
      </w:pPr>
      <w:r>
        <w:rPr>
          <w:rFonts w:hint="eastAsia" w:ascii="宋体" w:hAnsi="宋体" w:eastAsia="宋体" w:cs="宋体"/>
          <w:color w:val="auto"/>
          <w:sz w:val="24"/>
          <w:szCs w:val="24"/>
          <w:highlight w:val="none"/>
        </w:rPr>
        <w:t xml:space="preserve">注：1、</w:t>
      </w:r>
      <w:r>
        <w:rPr>
          <w:rFonts w:hint="eastAsia" w:ascii="宋体" w:hAnsi="宋体"/>
          <w:color w:val="auto"/>
          <w:sz w:val="24"/>
          <w:highlight w:val="none"/>
        </w:rPr>
        <w:t xml:space="preserve">供应商应当根据“采购需求”的内容在上表中详细填写；</w:t>
      </w:r>
      <w:r/>
    </w:p>
    <w:p>
      <w:pPr>
        <w:ind w:firstLine="960"/>
        <w:jc w:val="left"/>
        <w:spacing w:line="500" w:lineRule="exact"/>
        <w:rPr>
          <w:rFonts w:ascii="宋体" w:hAnsi="宋体"/>
          <w:color w:val="auto"/>
          <w:sz w:val="24"/>
          <w:highlight w:val="none"/>
        </w:rPr>
      </w:pP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表格不够可自行延长。</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360" w:lineRule="auto"/>
        <w:rPr>
          <w:rFonts w:ascii="宋体" w:hAnsi="宋体" w:cs="宋体"/>
          <w:color w:val="auto"/>
          <w:sz w:val="22"/>
          <w:highlight w:val="none"/>
        </w:rPr>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5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bCs w:val="0"/>
          <w:color w:val="auto"/>
          <w:sz w:val="24"/>
          <w:szCs w:val="24"/>
          <w:highlight w:val="none"/>
        </w:rPr>
      </w:pPr>
      <w:r>
        <w:rPr>
          <w:rFonts w:hint="eastAsia" w:ascii="黑体" w:eastAsia="黑体"/>
          <w:b/>
          <w:bCs w:val="0"/>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6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（3）如有技术偏离项，请于本表中列明偏离内容，如需要可自行延长，其余无偏离内容不须赘述。</w:t>
      </w:r>
      <w:bookmarkEnd w:id="158"/>
      <w:r/>
      <w:bookmarkStart w:id="159" w:name="_Hlt26955066"/>
      <w:r/>
      <w:bookmarkEnd w:id="159"/>
      <w:r/>
      <w:bookmarkStart w:id="160" w:name="_格式2__法定代表人授权书"/>
      <w:r/>
      <w:bookmarkEnd w:id="160"/>
      <w:r/>
      <w:bookmarkStart w:id="161" w:name="_Hlt26609389"/>
      <w:r/>
      <w:bookmarkEnd w:id="161"/>
      <w:r/>
      <w:bookmarkStart w:id="162" w:name="_Hlt26671374"/>
      <w:r/>
      <w:bookmarkEnd w:id="162"/>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rPr>
          <w:rFonts w:hint="eastAsia"/>
          <w:b/>
          <w:color w:val="auto"/>
          <w:sz w:val="28"/>
          <w:szCs w:val="28"/>
          <w:highlight w:val="none"/>
        </w:rPr>
      </w:pPr>
      <w:r>
        <w:rPr>
          <w:rFonts w:ascii="宋体" w:hAnsi="宋体"/>
          <w:bCs/>
          <w:color w:val="auto"/>
          <w:sz w:val="24"/>
          <w:szCs w:val="24"/>
          <w:highlight w:val="none"/>
        </w:rPr>
        <w:br w:type="page" w:clear="all"/>
      </w:r>
      <w:r/>
    </w:p>
    <w:p>
      <w:pPr>
        <w:spacing w:line="360" w:lineRule="auto"/>
        <w:rPr>
          <w:b/>
          <w:color w:val="auto"/>
          <w:sz w:val="28"/>
          <w:szCs w:val="28"/>
          <w:highlight w:val="none"/>
        </w:rPr>
        <w:outlineLvl w:val="0"/>
      </w:pPr>
      <w:r>
        <w:rPr>
          <w:rFonts w:hint="eastAsia" w:eastAsia="宋体"/>
          <w:b/>
          <w:color w:val="auto"/>
          <w:sz w:val="28"/>
          <w:szCs w:val="28"/>
          <w:highlight w:val="none"/>
          <w:lang w:val="en-US" w:eastAsia="zh-CN"/>
        </w:rPr>
        <w:t xml:space="preserve">十一、</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人员经验描述</w:t>
            </w:r>
            <w:r/>
          </w:p>
          <w:p>
            <w:pPr>
              <w:jc w:val="center"/>
              <w:spacing w:line="360" w:lineRule="auto"/>
              <w:rPr>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备注</w:t>
            </w:r>
            <w:r/>
          </w:p>
        </w:tc>
      </w:tr>
      <w:tr>
        <w:trPr>
          <w:jc w:val="center"/>
          <w:trHeight w:val="680"/>
        </w:trPr>
        <w:tc>
          <w:tcPr>
            <w:tcW w:w="766"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注：1. 本表对应项目人员配置情况，表格不够可自行延长。</w:t>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sectPr>
      <w:footnotePr/>
      <w:endnotePr/>
      <w:type w:val="nextPage"/>
      <w:pgSz w:w="11906" w:h="16838" w:orient="portrait"/>
      <w:pgMar w:top="850" w:right="851" w:bottom="850" w:left="1134" w:header="624"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4912" cy="29421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6986"/>
                            <w:rPr/>
                          </w:sdtPr>
                          <w:sdtContent>
                            <w:p>
                              <w:pPr>
                                <w:pStyle w:val="777"/>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768"/>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3pt;height:23.2pt;mso-wrap-distance-left:9.0pt;mso-wrap-distance-top:0.0pt;mso-wrap-distance-right:9.0pt;mso-wrap-distance-bottom:0.0pt;v-text-anchor:top;visibility:visible;" filled="f" stroked="f" strokeweight="0.50pt">
              <v:textbox inset="0,0,0,0">
                <w:txbxContent>
                  <w:sdt>
                    <w:sdtPr>
                      <w15:appearance w15:val="boundingBox"/>
                      <w:id w:val="147456986"/>
                      <w:rPr/>
                    </w:sdtPr>
                    <w:sdtContent>
                      <w:p>
                        <w:pPr>
                          <w:pStyle w:val="777"/>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76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pStyle w:val="877"/>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0"/>
      <w:isLgl w:val="false"/>
      <w:suff w:val="nothing"/>
      <w:lvlText w:val=""/>
      <w:lvlJc w:val="left"/>
      <w:pPr>
        <w:ind w:left="0" w:firstLine="0"/>
      </w:pPr>
      <w:rPr>
        <w:rFonts w:hint="eastAsia"/>
      </w:rPr>
    </w:lvl>
    <w:lvl w:ilvl="6">
      <w:start w:val="1"/>
      <w:numFmt w:val="decimal"/>
      <w:pStyle w:val="1072"/>
      <w:isLgl w:val="false"/>
      <w:suff w:val="nothing"/>
      <w:lvlText w:val=""/>
      <w:lvlJc w:val="left"/>
      <w:pPr>
        <w:ind w:left="0" w:firstLine="0"/>
      </w:pPr>
      <w:rPr>
        <w:rFonts w:hint="eastAsia"/>
      </w:rPr>
    </w:lvl>
    <w:lvl w:ilvl="7">
      <w:start w:val="1"/>
      <w:numFmt w:val="decimal"/>
      <w:pStyle w:val="1074"/>
      <w:isLgl w:val="false"/>
      <w:suff w:val="nothing"/>
      <w:lvlText w:val=""/>
      <w:lvlJc w:val="left"/>
      <w:pPr>
        <w:ind w:left="0" w:firstLine="0"/>
      </w:pPr>
      <w:rPr>
        <w:rFonts w:hint="eastAsia"/>
      </w:rPr>
    </w:lvl>
    <w:lvl w:ilvl="8">
      <w:start w:val="1"/>
      <w:numFmt w:val="decimal"/>
      <w:pStyle w:val="1076"/>
      <w:isLgl w:val="false"/>
      <w:suff w:val="nothing"/>
      <w:lvlText w:val=""/>
      <w:lvlJc w:val="left"/>
      <w:pPr>
        <w:ind w:left="0" w:firstLine="0"/>
      </w:pPr>
      <w:rPr>
        <w:rFonts w:hint="eastAsia"/>
      </w:rPr>
    </w:lvl>
  </w:abstractNum>
  <w:abstractNum w:abstractNumId="3">
    <w:multiLevelType w:val="hybridMultilevel"/>
    <w:lvl w:ilvl="0">
      <w:start w:val="1"/>
      <w:numFmt w:val="upperLetter"/>
      <w:pStyle w:val="751"/>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upperLetter"/>
      <w:pStyle w:val="11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1、"/>
      <w:lvlJc w:val="left"/>
      <w:pPr>
        <w:ind w:left="450" w:hanging="450"/>
        <w:tabs>
          <w:tab w:val="left" w:pos="450" w:leader="none"/>
        </w:tabs>
      </w:pPr>
      <w:rPr>
        <w:rFonts w:hint="eastAsia" w:ascii="宋体" w:hAnsi="宋体" w:eastAsia="宋体" w:cs="宋体"/>
        <w:b w:val="0"/>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2"/>
  </w:num>
  <w:num w:numId="4">
    <w:abstractNumId w:val="8"/>
  </w:num>
  <w:num w:numId="5">
    <w:abstractNumId w:val="0"/>
  </w:num>
  <w:num w:numId="6">
    <w:abstractNumId w:val="4"/>
  </w:num>
  <w:num w:numId="7">
    <w:abstractNumId w:val="10"/>
  </w:num>
  <w:num w:numId="8">
    <w:abstractNumId w:val="9"/>
  </w:num>
  <w:num w:numId="9">
    <w:abstractNumId w:val="7"/>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Theme="minorHAnsi" w:hAnsiTheme="minorHAnsi" w:eastAsiaTheme="minorEastAsia" w:cstheme="minorBidi"/>
      <w:sz w:val="21"/>
      <w:szCs w:val="22"/>
    </w:rPr>
  </w:style>
  <w:style w:type="paragraph" w:styleId="747">
    <w:name w:val="Heading 1"/>
    <w:basedOn w:val="746"/>
    <w:next w:val="746"/>
    <w:link w:val="808"/>
    <w:uiPriority w:val="9"/>
    <w:qFormat/>
    <w:pPr>
      <w:jc w:val="center"/>
      <w:keepNext/>
      <w:outlineLvl w:val="0"/>
    </w:pPr>
    <w:rPr>
      <w:rFonts w:ascii="楷体_GB2312" w:hAnsi="Times New Roman" w:eastAsia="楷体_GB2312" w:cs="Times New Roman"/>
      <w:b/>
      <w:sz w:val="28"/>
      <w:szCs w:val="20"/>
    </w:rPr>
  </w:style>
  <w:style w:type="paragraph" w:styleId="748">
    <w:name w:val="Heading 2"/>
    <w:basedOn w:val="746"/>
    <w:next w:val="746"/>
    <w:link w:val="809"/>
    <w:uiPriority w:val="9"/>
    <w:qFormat/>
    <w:pPr>
      <w:jc w:val="center"/>
      <w:keepNext/>
      <w:outlineLvl w:val="1"/>
    </w:pPr>
    <w:rPr>
      <w:rFonts w:ascii="楷体_GB2312" w:hAnsi="Times New Roman" w:eastAsia="楷体_GB2312" w:cs="Times New Roman"/>
      <w:b/>
      <w:bCs/>
      <w:sz w:val="18"/>
      <w:szCs w:val="20"/>
    </w:rPr>
  </w:style>
  <w:style w:type="paragraph" w:styleId="749">
    <w:name w:val="Heading 3"/>
    <w:basedOn w:val="759"/>
    <w:next w:val="746"/>
    <w:link w:val="810"/>
    <w:uiPriority w:val="9"/>
    <w:qFormat/>
    <w:pPr>
      <w:jc w:val="left"/>
      <w:keepNext/>
    </w:pPr>
    <w:rPr>
      <w:rFonts w:asciiTheme="minorEastAsia" w:hAnsiTheme="minorEastAsia" w:eastAsiaTheme="minorEastAsia" w:cstheme="minorBidi"/>
      <w:bCs/>
      <w:sz w:val="24"/>
      <w:szCs w:val="24"/>
      <w:lang w:eastAsia="zh-CN"/>
    </w:rPr>
  </w:style>
  <w:style w:type="paragraph" w:styleId="750">
    <w:name w:val="Heading 4"/>
    <w:basedOn w:val="746"/>
    <w:next w:val="746"/>
    <w:link w:val="811"/>
    <w:uiPriority w:val="9"/>
    <w:qFormat/>
    <w:pPr>
      <w:keepNext/>
      <w:outlineLvl w:val="3"/>
    </w:pPr>
    <w:rPr>
      <w:rFonts w:ascii="Times New Roman" w:hAnsi="Times New Roman" w:eastAsia="楷体_GB2312" w:cs="Times New Roman"/>
      <w:b/>
      <w:bCs/>
      <w:sz w:val="15"/>
      <w:szCs w:val="20"/>
    </w:rPr>
  </w:style>
  <w:style w:type="paragraph" w:styleId="751">
    <w:name w:val="Heading 5"/>
    <w:basedOn w:val="746"/>
    <w:next w:val="746"/>
    <w:link w:val="812"/>
    <w:uiPriority w:val="9"/>
    <w:qFormat/>
    <w:pPr>
      <w:numPr>
        <w:ilvl w:val="0"/>
        <w:numId w:val="1"/>
      </w:numPr>
      <w:keepNext/>
      <w:outlineLvl w:val="4"/>
    </w:pPr>
    <w:rPr>
      <w:rFonts w:ascii="楷体_GB2312" w:hAnsi="Times New Roman" w:eastAsia="楷体_GB2312" w:cs="Times New Roman"/>
      <w:bCs/>
      <w:sz w:val="28"/>
      <w:szCs w:val="20"/>
    </w:rPr>
  </w:style>
  <w:style w:type="paragraph" w:styleId="752">
    <w:name w:val="Heading 6"/>
    <w:basedOn w:val="746"/>
    <w:next w:val="746"/>
    <w:link w:val="892"/>
    <w:uiPriority w:val="9"/>
    <w:qFormat/>
    <w:pPr>
      <w:keepLines/>
      <w:keepNext/>
      <w:spacing w:before="320" w:after="200"/>
      <w:outlineLvl w:val="5"/>
    </w:pPr>
    <w:rPr>
      <w:rFonts w:ascii="Arial" w:hAnsi="Arial" w:eastAsia="Arial" w:cs="Arial"/>
      <w:b/>
      <w:bCs/>
      <w:sz w:val="22"/>
    </w:rPr>
  </w:style>
  <w:style w:type="paragraph" w:styleId="753">
    <w:name w:val="Heading 7"/>
    <w:basedOn w:val="746"/>
    <w:next w:val="746"/>
    <w:link w:val="893"/>
    <w:uiPriority w:val="9"/>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94"/>
    <w:uiPriority w:val="9"/>
    <w:qFormat/>
    <w:pPr>
      <w:keepLines/>
      <w:keepNext/>
      <w:spacing w:before="320" w:after="200"/>
      <w:outlineLvl w:val="7"/>
    </w:pPr>
    <w:rPr>
      <w:rFonts w:ascii="Arial" w:hAnsi="Arial" w:eastAsia="Arial" w:cs="Arial"/>
      <w:i/>
      <w:iCs/>
      <w:sz w:val="22"/>
    </w:rPr>
  </w:style>
  <w:style w:type="paragraph" w:styleId="755">
    <w:name w:val="Heading 9"/>
    <w:basedOn w:val="746"/>
    <w:next w:val="746"/>
    <w:link w:val="895"/>
    <w:uiPriority w:val="9"/>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目录 21"/>
    <w:basedOn w:val="746"/>
    <w:next w:val="746"/>
    <w:uiPriority w:val="39"/>
    <w:unhideWhenUsed/>
    <w:qFormat/>
    <w:pPr>
      <w:ind w:left="283"/>
      <w:spacing w:after="57"/>
    </w:pPr>
    <w:rPr>
      <w:rFonts w:ascii="Times New Roman" w:hAnsi="Times New Roman" w:eastAsia="宋体" w:cs="Times New Roman"/>
      <w:szCs w:val="21"/>
    </w:rPr>
  </w:style>
  <w:style w:type="paragraph" w:styleId="759" w:customStyle="1">
    <w:name w:val="Cn Heading3"/>
    <w:basedOn w:val="760"/>
    <w:uiPriority w:val="0"/>
    <w:qFormat/>
    <w:pPr>
      <w:ind w:firstLine="0"/>
      <w:spacing w:line="480" w:lineRule="auto"/>
      <w:outlineLvl w:val="2"/>
    </w:pPr>
    <w:rPr>
      <w:rFonts w:ascii="微软雅黑" w:hAnsi="微软雅黑" w:eastAsia="微软雅黑"/>
      <w:b/>
      <w:sz w:val="28"/>
      <w:szCs w:val="28"/>
      <w:lang w:eastAsia="ja-JP"/>
    </w:rPr>
  </w:style>
  <w:style w:type="paragraph" w:styleId="760" w:customStyle="1">
    <w:name w:val="列出段落1"/>
    <w:basedOn w:val="746"/>
    <w:link w:val="1135"/>
    <w:uiPriority w:val="0"/>
    <w:qFormat/>
    <w:pPr>
      <w:ind w:firstLine="420"/>
      <w:spacing w:before="120" w:after="120" w:line="360" w:lineRule="auto"/>
    </w:pPr>
    <w:rPr>
      <w:rFonts w:ascii="Calibri" w:hAnsi="Calibri" w:eastAsia="宋体" w:cs="Times New Roman"/>
      <w:sz w:val="24"/>
    </w:rPr>
  </w:style>
  <w:style w:type="paragraph" w:styleId="761">
    <w:name w:val="toc 7"/>
    <w:basedOn w:val="746"/>
    <w:next w:val="746"/>
    <w:uiPriority w:val="39"/>
    <w:unhideWhenUsed/>
    <w:qFormat/>
    <w:pPr>
      <w:ind w:left="1701"/>
      <w:spacing w:after="57"/>
    </w:pPr>
    <w:rPr>
      <w:rFonts w:ascii="Times New Roman" w:hAnsi="Times New Roman" w:eastAsia="宋体" w:cs="Times New Roman"/>
      <w:szCs w:val="21"/>
    </w:rPr>
  </w:style>
  <w:style w:type="paragraph" w:styleId="762">
    <w:name w:val="Normal Indent"/>
    <w:basedOn w:val="746"/>
    <w:uiPriority w:val="99"/>
    <w:qFormat/>
    <w:pPr>
      <w:ind w:firstLine="420"/>
    </w:pPr>
    <w:rPr>
      <w:rFonts w:ascii="Times New Roman" w:hAnsi="Times New Roman" w:eastAsia="宋体" w:cs="Times New Roman"/>
      <w:szCs w:val="20"/>
    </w:rPr>
  </w:style>
  <w:style w:type="paragraph" w:styleId="763">
    <w:name w:val="Caption"/>
    <w:basedOn w:val="746"/>
    <w:next w:val="746"/>
    <w:uiPriority w:val="35"/>
    <w:qFormat/>
    <w:pPr>
      <w:spacing w:line="276" w:lineRule="auto"/>
    </w:pPr>
    <w:rPr>
      <w:rFonts w:ascii="Times New Roman" w:hAnsi="Times New Roman" w:eastAsia="宋体" w:cs="Times New Roman"/>
      <w:b/>
      <w:bCs/>
      <w:color w:val="4f81bd"/>
      <w:sz w:val="18"/>
      <w:szCs w:val="18"/>
    </w:rPr>
  </w:style>
  <w:style w:type="paragraph" w:styleId="764">
    <w:name w:val="Document Map"/>
    <w:basedOn w:val="746"/>
    <w:link w:val="873"/>
    <w:uiPriority w:val="99"/>
    <w:semiHidden/>
    <w:qFormat/>
    <w:pPr>
      <w:shd w:val="clear" w:color="auto" w:fill="000080"/>
    </w:pPr>
    <w:rPr>
      <w:rFonts w:ascii="Times New Roman" w:hAnsi="Times New Roman" w:eastAsia="宋体" w:cs="Times New Roman"/>
      <w:sz w:val="20"/>
      <w:szCs w:val="20"/>
    </w:rPr>
  </w:style>
  <w:style w:type="paragraph" w:styleId="765">
    <w:name w:val="annotation text"/>
    <w:basedOn w:val="746"/>
    <w:link w:val="880"/>
    <w:uiPriority w:val="99"/>
    <w:semiHidden/>
    <w:unhideWhenUsed/>
    <w:qFormat/>
    <w:pPr>
      <w:jc w:val="left"/>
    </w:pPr>
  </w:style>
  <w:style w:type="paragraph" w:styleId="766">
    <w:name w:val="Body Text"/>
    <w:basedOn w:val="746"/>
    <w:next w:val="746"/>
    <w:link w:val="817"/>
    <w:uiPriority w:val="99"/>
    <w:qFormat/>
    <w:rPr>
      <w:rFonts w:ascii="华文中宋" w:hAnsi="Times New Roman" w:eastAsia="华文中宋" w:cs="Times New Roman"/>
      <w:bCs/>
      <w:sz w:val="28"/>
      <w:szCs w:val="20"/>
    </w:rPr>
  </w:style>
  <w:style w:type="paragraph" w:styleId="767">
    <w:name w:val="Body Text Indent"/>
    <w:basedOn w:val="746"/>
    <w:link w:val="814"/>
    <w:uiPriority w:val="99"/>
    <w:qFormat/>
    <w:pPr>
      <w:ind w:firstLine="576"/>
    </w:pPr>
    <w:rPr>
      <w:rFonts w:ascii="Times New Roman" w:hAnsi="Times New Roman" w:eastAsia="宋体" w:cs="Times New Roman"/>
      <w:b/>
      <w:sz w:val="30"/>
      <w:szCs w:val="20"/>
    </w:rPr>
  </w:style>
  <w:style w:type="paragraph" w:styleId="768">
    <w:name w:val="index 4"/>
    <w:basedOn w:val="746"/>
    <w:next w:val="746"/>
    <w:uiPriority w:val="99"/>
    <w:qFormat/>
    <w:pPr>
      <w:ind w:left="600"/>
    </w:pPr>
    <w:rPr>
      <w:szCs w:val="24"/>
    </w:rPr>
  </w:style>
  <w:style w:type="paragraph" w:styleId="769">
    <w:name w:val="toc 5"/>
    <w:basedOn w:val="746"/>
    <w:next w:val="746"/>
    <w:uiPriority w:val="39"/>
    <w:unhideWhenUsed/>
    <w:qFormat/>
    <w:pPr>
      <w:ind w:left="1134"/>
      <w:spacing w:after="57"/>
    </w:pPr>
    <w:rPr>
      <w:rFonts w:ascii="Times New Roman" w:hAnsi="Times New Roman" w:eastAsia="宋体" w:cs="Times New Roman"/>
      <w:szCs w:val="21"/>
    </w:rPr>
  </w:style>
  <w:style w:type="paragraph" w:styleId="770">
    <w:name w:val="toc 3"/>
    <w:basedOn w:val="746"/>
    <w:next w:val="746"/>
    <w:uiPriority w:val="39"/>
    <w:unhideWhenUsed/>
    <w:qFormat/>
    <w:pPr>
      <w:ind w:left="567"/>
      <w:spacing w:after="57"/>
    </w:pPr>
    <w:rPr>
      <w:rFonts w:ascii="Times New Roman" w:hAnsi="Times New Roman" w:eastAsia="宋体" w:cs="Times New Roman"/>
      <w:szCs w:val="21"/>
    </w:rPr>
  </w:style>
  <w:style w:type="paragraph" w:styleId="771">
    <w:name w:val="Plain Text"/>
    <w:basedOn w:val="746"/>
    <w:uiPriority w:val="0"/>
    <w:qFormat/>
    <w:rPr>
      <w:rFonts w:ascii="黑体" w:cs="Times New Roman"/>
      <w:szCs w:val="21"/>
    </w:rPr>
  </w:style>
  <w:style w:type="paragraph" w:styleId="772">
    <w:name w:val="toc 8"/>
    <w:basedOn w:val="746"/>
    <w:next w:val="746"/>
    <w:uiPriority w:val="39"/>
    <w:unhideWhenUsed/>
    <w:qFormat/>
    <w:pPr>
      <w:ind w:left="1984"/>
      <w:spacing w:after="57"/>
    </w:pPr>
    <w:rPr>
      <w:rFonts w:ascii="Times New Roman" w:hAnsi="Times New Roman" w:eastAsia="宋体" w:cs="Times New Roman"/>
      <w:szCs w:val="21"/>
    </w:rPr>
  </w:style>
  <w:style w:type="paragraph" w:styleId="773">
    <w:name w:val="Date"/>
    <w:basedOn w:val="746"/>
    <w:next w:val="746"/>
    <w:link w:val="813"/>
    <w:uiPriority w:val="99"/>
    <w:qFormat/>
    <w:rPr>
      <w:rFonts w:ascii="Times New Roman" w:hAnsi="Times New Roman" w:eastAsia="黑体" w:cs="Times New Roman"/>
      <w:b/>
      <w:sz w:val="36"/>
      <w:szCs w:val="20"/>
    </w:rPr>
  </w:style>
  <w:style w:type="paragraph" w:styleId="774">
    <w:name w:val="Body Text Indent 2"/>
    <w:basedOn w:val="746"/>
    <w:link w:val="818"/>
    <w:uiPriority w:val="99"/>
    <w:qFormat/>
    <w:pPr>
      <w:ind w:left="900"/>
    </w:pPr>
    <w:rPr>
      <w:rFonts w:ascii="楷体_GB2312" w:hAnsi="Times New Roman" w:eastAsia="楷体_GB2312" w:cs="Times New Roman"/>
      <w:b/>
      <w:sz w:val="28"/>
      <w:szCs w:val="20"/>
    </w:rPr>
  </w:style>
  <w:style w:type="paragraph" w:styleId="775">
    <w:name w:val="endnote text"/>
    <w:basedOn w:val="746"/>
    <w:link w:val="920"/>
    <w:uiPriority w:val="99"/>
    <w:unhideWhenUsed/>
    <w:qFormat/>
    <w:rPr>
      <w:rFonts w:ascii="Times New Roman" w:hAnsi="Times New Roman" w:eastAsia="宋体" w:cs="Times New Roman"/>
      <w:sz w:val="20"/>
      <w:szCs w:val="21"/>
    </w:rPr>
  </w:style>
  <w:style w:type="paragraph" w:styleId="776">
    <w:name w:val="Balloon Text"/>
    <w:basedOn w:val="746"/>
    <w:link w:val="879"/>
    <w:uiPriority w:val="99"/>
    <w:unhideWhenUsed/>
    <w:qFormat/>
    <w:rPr>
      <w:rFonts w:ascii="Times New Roman" w:hAnsi="Times New Roman" w:eastAsia="宋体" w:cs="Times New Roman"/>
      <w:sz w:val="18"/>
      <w:szCs w:val="18"/>
    </w:rPr>
  </w:style>
  <w:style w:type="paragraph" w:styleId="777">
    <w:name w:val="Footer"/>
    <w:basedOn w:val="746"/>
    <w:link w:val="815"/>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78">
    <w:name w:val="Header"/>
    <w:basedOn w:val="746"/>
    <w:link w:val="816"/>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79">
    <w:name w:val="toc 1"/>
    <w:basedOn w:val="746"/>
    <w:next w:val="746"/>
    <w:uiPriority w:val="39"/>
    <w:unhideWhenUsed/>
    <w:qFormat/>
    <w:pPr>
      <w:spacing w:after="57"/>
    </w:pPr>
    <w:rPr>
      <w:rFonts w:ascii="Times New Roman" w:hAnsi="Times New Roman" w:eastAsia="宋体" w:cs="Times New Roman"/>
      <w:szCs w:val="21"/>
    </w:rPr>
  </w:style>
  <w:style w:type="paragraph" w:styleId="780">
    <w:name w:val="toc 4"/>
    <w:basedOn w:val="746"/>
    <w:next w:val="746"/>
    <w:uiPriority w:val="39"/>
    <w:unhideWhenUsed/>
    <w:qFormat/>
    <w:pPr>
      <w:ind w:left="850"/>
      <w:spacing w:after="57"/>
    </w:pPr>
    <w:rPr>
      <w:rFonts w:ascii="Times New Roman" w:hAnsi="Times New Roman" w:eastAsia="宋体" w:cs="Times New Roman"/>
      <w:szCs w:val="21"/>
    </w:rPr>
  </w:style>
  <w:style w:type="paragraph" w:styleId="781">
    <w:name w:val="Subtitle"/>
    <w:basedOn w:val="746"/>
    <w:next w:val="746"/>
    <w:link w:val="929"/>
    <w:uiPriority w:val="11"/>
    <w:qFormat/>
    <w:pPr>
      <w:ind w:firstLine="471"/>
      <w:jc w:val="center"/>
      <w:spacing w:before="240" w:after="60" w:line="312" w:lineRule="atLeast"/>
      <w:outlineLvl w:val="1"/>
    </w:pPr>
    <w:rPr>
      <w:rFonts w:ascii="Arial" w:hAnsi="Arial"/>
      <w:b/>
      <w:bCs/>
      <w:sz w:val="32"/>
      <w:szCs w:val="32"/>
    </w:rPr>
  </w:style>
  <w:style w:type="paragraph" w:styleId="782">
    <w:name w:val="List"/>
    <w:basedOn w:val="746"/>
    <w:uiPriority w:val="0"/>
    <w:qFormat/>
    <w:pPr>
      <w:ind w:firstLine="480"/>
      <w:spacing w:after="20" w:line="360" w:lineRule="auto"/>
      <w:tabs>
        <w:tab w:val="left" w:pos="420" w:leader="none"/>
      </w:tabs>
    </w:pPr>
    <w:rPr>
      <w:rFonts w:ascii="宋体" w:hAnsi="宋体" w:eastAsia="宋体" w:cs="宋体"/>
      <w:sz w:val="24"/>
      <w:szCs w:val="24"/>
    </w:rPr>
  </w:style>
  <w:style w:type="paragraph" w:styleId="783">
    <w:name w:val="footnote text"/>
    <w:basedOn w:val="746"/>
    <w:link w:val="918"/>
    <w:uiPriority w:val="99"/>
    <w:unhideWhenUsed/>
    <w:qFormat/>
    <w:pPr>
      <w:spacing w:after="40"/>
    </w:pPr>
    <w:rPr>
      <w:rFonts w:ascii="Times New Roman" w:hAnsi="Times New Roman" w:eastAsia="宋体" w:cs="Times New Roman"/>
      <w:sz w:val="18"/>
      <w:szCs w:val="21"/>
    </w:rPr>
  </w:style>
  <w:style w:type="paragraph" w:styleId="784">
    <w:name w:val="toc 6"/>
    <w:basedOn w:val="746"/>
    <w:next w:val="746"/>
    <w:uiPriority w:val="39"/>
    <w:unhideWhenUsed/>
    <w:qFormat/>
    <w:pPr>
      <w:ind w:left="1417"/>
      <w:spacing w:after="57"/>
    </w:pPr>
    <w:rPr>
      <w:rFonts w:ascii="Times New Roman" w:hAnsi="Times New Roman" w:eastAsia="宋体" w:cs="Times New Roman"/>
      <w:szCs w:val="21"/>
    </w:rPr>
  </w:style>
  <w:style w:type="paragraph" w:styleId="785">
    <w:name w:val="Body Text Indent 3"/>
    <w:basedOn w:val="746"/>
    <w:link w:val="819"/>
    <w:uiPriority w:val="99"/>
    <w:qFormat/>
    <w:pPr>
      <w:ind w:left="359" w:firstLine="359"/>
    </w:pPr>
    <w:rPr>
      <w:rFonts w:ascii="Times New Roman" w:hAnsi="Times New Roman" w:eastAsia="宋体" w:cs="Times New Roman"/>
      <w:sz w:val="20"/>
      <w:szCs w:val="20"/>
    </w:rPr>
  </w:style>
  <w:style w:type="paragraph" w:styleId="786">
    <w:name w:val="table of figures"/>
    <w:basedOn w:val="746"/>
    <w:next w:val="746"/>
    <w:uiPriority w:val="99"/>
    <w:unhideWhenUsed/>
    <w:qFormat/>
    <w:rPr>
      <w:rFonts w:ascii="Times New Roman" w:hAnsi="Times New Roman" w:eastAsia="宋体" w:cs="Times New Roman"/>
      <w:szCs w:val="21"/>
    </w:rPr>
  </w:style>
  <w:style w:type="paragraph" w:styleId="787">
    <w:name w:val="toc 2"/>
    <w:basedOn w:val="746"/>
    <w:next w:val="746"/>
    <w:uiPriority w:val="39"/>
    <w:unhideWhenUsed/>
    <w:qFormat/>
    <w:pPr>
      <w:ind w:left="283"/>
      <w:spacing w:after="57"/>
    </w:pPr>
    <w:rPr>
      <w:rFonts w:ascii="Times New Roman" w:hAnsi="Times New Roman" w:eastAsia="宋体" w:cs="Times New Roman"/>
      <w:szCs w:val="21"/>
    </w:rPr>
  </w:style>
  <w:style w:type="paragraph" w:styleId="788">
    <w:name w:val="toc 9"/>
    <w:basedOn w:val="746"/>
    <w:next w:val="746"/>
    <w:uiPriority w:val="39"/>
    <w:unhideWhenUsed/>
    <w:qFormat/>
    <w:pPr>
      <w:ind w:left="2268"/>
      <w:spacing w:after="57"/>
    </w:pPr>
    <w:rPr>
      <w:rFonts w:ascii="Times New Roman" w:hAnsi="Times New Roman" w:eastAsia="宋体" w:cs="Times New Roman"/>
      <w:szCs w:val="21"/>
    </w:rPr>
  </w:style>
  <w:style w:type="paragraph" w:styleId="789">
    <w:name w:val="Body Text 2"/>
    <w:basedOn w:val="746"/>
    <w:link w:val="874"/>
    <w:uiPriority w:val="99"/>
    <w:qFormat/>
    <w:pPr>
      <w:spacing w:after="120" w:line="480" w:lineRule="auto"/>
    </w:pPr>
    <w:rPr>
      <w:rFonts w:ascii="Times New Roman" w:hAnsi="Times New Roman" w:eastAsia="宋体" w:cs="Times New Roman"/>
      <w:sz w:val="20"/>
      <w:szCs w:val="20"/>
    </w:rPr>
  </w:style>
  <w:style w:type="paragraph" w:styleId="790">
    <w:name w:val="Normal (Web)"/>
    <w:basedOn w:val="746"/>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91">
    <w:name w:val="Title"/>
    <w:basedOn w:val="746"/>
    <w:next w:val="746"/>
    <w:link w:val="906"/>
    <w:uiPriority w:val="10"/>
    <w:qFormat/>
    <w:pPr>
      <w:contextualSpacing/>
      <w:spacing w:before="300" w:after="200"/>
    </w:pPr>
    <w:rPr>
      <w:rFonts w:ascii="Times New Roman" w:hAnsi="Times New Roman" w:eastAsia="宋体" w:cs="Times New Roman"/>
      <w:sz w:val="48"/>
      <w:szCs w:val="48"/>
    </w:rPr>
  </w:style>
  <w:style w:type="paragraph" w:styleId="792">
    <w:name w:val="annotation subject"/>
    <w:basedOn w:val="765"/>
    <w:next w:val="765"/>
    <w:link w:val="881"/>
    <w:uiPriority w:val="99"/>
    <w:semiHidden/>
    <w:unhideWhenUsed/>
    <w:qFormat/>
    <w:rPr>
      <w:b/>
      <w:bCs/>
    </w:rPr>
  </w:style>
  <w:style w:type="paragraph" w:styleId="793">
    <w:name w:val="Body Text First Indent"/>
    <w:basedOn w:val="766"/>
    <w:uiPriority w:val="99"/>
    <w:unhideWhenUsed/>
    <w:qFormat/>
    <w:pPr>
      <w:ind w:firstLine="420"/>
      <w:spacing w:after="120"/>
    </w:pPr>
    <w:rPr>
      <w:rFonts w:ascii="Calibri" w:hAnsi="Calibri" w:eastAsia="宋体"/>
      <w:sz w:val="21"/>
      <w:szCs w:val="22"/>
    </w:rPr>
  </w:style>
  <w:style w:type="paragraph" w:styleId="794">
    <w:name w:val="Body Text First Indent 2"/>
    <w:basedOn w:val="767"/>
    <w:next w:val="746"/>
    <w:link w:val="884"/>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95">
    <w:name w:val="Table Grid"/>
    <w:basedOn w:val="757"/>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99"/>
    <w:qFormat/>
    <w:rPr>
      <w:rFonts w:cs="Times New Roman"/>
      <w:b/>
      <w:bCs/>
    </w:rPr>
  </w:style>
  <w:style w:type="character" w:styleId="797">
    <w:name w:val="endnote reference"/>
    <w:uiPriority w:val="99"/>
    <w:unhideWhenUsed/>
    <w:qFormat/>
    <w:rPr>
      <w:vertAlign w:val="superscript"/>
    </w:rPr>
  </w:style>
  <w:style w:type="character" w:styleId="798">
    <w:name w:val="page number"/>
    <w:uiPriority w:val="99"/>
    <w:qFormat/>
    <w:rPr>
      <w:rFonts w:cs="Times New Roman"/>
    </w:rPr>
  </w:style>
  <w:style w:type="character" w:styleId="799">
    <w:name w:val="FollowedHyperlink"/>
    <w:uiPriority w:val="99"/>
    <w:semiHidden/>
    <w:unhideWhenUsed/>
    <w:qFormat/>
    <w:rPr>
      <w:color w:val="800080"/>
      <w:u w:val="single"/>
    </w:rPr>
  </w:style>
  <w:style w:type="character" w:styleId="800">
    <w:name w:val="HTML Typewriter"/>
    <w:uiPriority w:val="99"/>
    <w:qFormat/>
    <w:rPr>
      <w:rFonts w:ascii="宋体" w:hAnsi="宋体" w:eastAsia="宋体" w:cs="宋体"/>
      <w:sz w:val="24"/>
      <w:szCs w:val="24"/>
    </w:rPr>
  </w:style>
  <w:style w:type="character" w:styleId="801">
    <w:name w:val="Hyperlink"/>
    <w:uiPriority w:val="99"/>
    <w:qFormat/>
    <w:rPr>
      <w:rFonts w:cs="Times New Roman"/>
      <w:color w:val="auto"/>
      <w:u w:val="none"/>
    </w:rPr>
  </w:style>
  <w:style w:type="character" w:styleId="802">
    <w:name w:val="annotation reference"/>
    <w:basedOn w:val="756"/>
    <w:uiPriority w:val="0"/>
    <w:semiHidden/>
    <w:unhideWhenUsed/>
    <w:qFormat/>
    <w:rPr>
      <w:sz w:val="21"/>
      <w:szCs w:val="21"/>
    </w:rPr>
  </w:style>
  <w:style w:type="character" w:styleId="803">
    <w:name w:val="footnote reference"/>
    <w:uiPriority w:val="99"/>
    <w:unhideWhenUsed/>
    <w:qFormat/>
    <w:rPr>
      <w:vertAlign w:val="superscript"/>
    </w:rPr>
  </w:style>
  <w:style w:type="paragraph" w:styleId="80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05" w:customStyle="1">
    <w:name w:val="明显引用1"/>
    <w:next w:val="746"/>
    <w:uiPriority w:val="99"/>
    <w:qFormat/>
    <w:pPr>
      <w:ind w:left="950" w:right="950"/>
      <w:jc w:val="center"/>
      <w:spacing w:before="360" w:after="360"/>
    </w:pPr>
    <w:rPr>
      <w:rFonts w:hint="default" w:ascii="Times New Roman" w:hAnsi="Times New Roman" w:eastAsia="宋体" w:cs="Times New Roman"/>
      <w:i/>
      <w:iCs/>
      <w:sz w:val="21"/>
      <w:szCs w:val="21"/>
    </w:rPr>
  </w:style>
  <w:style w:type="paragraph" w:styleId="806" w:customStyle="1">
    <w:name w:val="段"/>
    <w:next w:val="746"/>
    <w:uiPriority w:val="0"/>
    <w:qFormat/>
    <w:pPr>
      <w:ind w:firstLine="200"/>
      <w:jc w:val="both"/>
    </w:pPr>
    <w:rPr>
      <w:rFonts w:hint="default" w:ascii="宋体" w:hAnsi="Times New Roman" w:eastAsia="宋体" w:cs="Times New Roman"/>
      <w:sz w:val="21"/>
    </w:rPr>
  </w:style>
  <w:style w:type="paragraph" w:styleId="807" w:customStyle="1">
    <w:name w:val="TOC Heading"/>
    <w:uiPriority w:val="39"/>
    <w:unhideWhenUsed/>
    <w:qFormat/>
    <w:rPr>
      <w:rFonts w:hint="default" w:asciiTheme="minorHAnsi" w:hAnsiTheme="minorHAnsi" w:eastAsiaTheme="minorEastAsia" w:cstheme="minorBidi"/>
    </w:rPr>
  </w:style>
  <w:style w:type="character" w:styleId="808" w:customStyle="1">
    <w:name w:val="标题 1 Char1"/>
    <w:basedOn w:val="756"/>
    <w:link w:val="747"/>
    <w:uiPriority w:val="9"/>
    <w:qFormat/>
    <w:rPr>
      <w:rFonts w:ascii="楷体_GB2312" w:hAnsi="Times New Roman" w:eastAsia="楷体_GB2312" w:cs="Times New Roman"/>
      <w:b/>
      <w:sz w:val="28"/>
      <w:szCs w:val="20"/>
    </w:rPr>
  </w:style>
  <w:style w:type="character" w:styleId="809" w:customStyle="1">
    <w:name w:val="标题 2 Char1"/>
    <w:basedOn w:val="756"/>
    <w:link w:val="748"/>
    <w:uiPriority w:val="9"/>
    <w:qFormat/>
    <w:rPr>
      <w:rFonts w:ascii="楷体_GB2312" w:hAnsi="Times New Roman" w:eastAsia="楷体_GB2312" w:cs="Times New Roman"/>
      <w:b/>
      <w:bCs/>
      <w:sz w:val="18"/>
      <w:szCs w:val="20"/>
    </w:rPr>
  </w:style>
  <w:style w:type="character" w:styleId="810" w:customStyle="1">
    <w:name w:val="标题 3 Char1"/>
    <w:basedOn w:val="756"/>
    <w:link w:val="749"/>
    <w:uiPriority w:val="9"/>
    <w:qFormat/>
    <w:rPr>
      <w:rFonts w:asciiTheme="minorEastAsia" w:hAnsiTheme="minorEastAsia"/>
      <w:b/>
      <w:bCs/>
      <w:sz w:val="24"/>
      <w:szCs w:val="24"/>
    </w:rPr>
  </w:style>
  <w:style w:type="character" w:styleId="811" w:customStyle="1">
    <w:name w:val="标题 4 Char1"/>
    <w:basedOn w:val="756"/>
    <w:link w:val="750"/>
    <w:uiPriority w:val="9"/>
    <w:qFormat/>
    <w:rPr>
      <w:rFonts w:ascii="Times New Roman" w:hAnsi="Times New Roman" w:eastAsia="楷体_GB2312" w:cs="Times New Roman"/>
      <w:b/>
      <w:bCs/>
      <w:sz w:val="15"/>
    </w:rPr>
  </w:style>
  <w:style w:type="character" w:styleId="812" w:customStyle="1">
    <w:name w:val="标题 5 Char1"/>
    <w:basedOn w:val="756"/>
    <w:link w:val="751"/>
    <w:uiPriority w:val="9"/>
    <w:qFormat/>
    <w:rPr>
      <w:rFonts w:ascii="楷体_GB2312" w:hAnsi="Times New Roman" w:eastAsia="楷体_GB2312" w:cs="Times New Roman"/>
      <w:bCs/>
      <w:sz w:val="28"/>
    </w:rPr>
  </w:style>
  <w:style w:type="character" w:styleId="813" w:customStyle="1">
    <w:name w:val="日期 Char1"/>
    <w:basedOn w:val="756"/>
    <w:link w:val="773"/>
    <w:uiPriority w:val="99"/>
    <w:qFormat/>
    <w:rPr>
      <w:rFonts w:ascii="Times New Roman" w:hAnsi="Times New Roman" w:eastAsia="黑体" w:cs="Times New Roman"/>
      <w:b/>
      <w:sz w:val="36"/>
      <w:szCs w:val="20"/>
    </w:rPr>
  </w:style>
  <w:style w:type="character" w:styleId="814" w:customStyle="1">
    <w:name w:val="正文文本缩进 Char1"/>
    <w:basedOn w:val="756"/>
    <w:link w:val="767"/>
    <w:uiPriority w:val="99"/>
    <w:qFormat/>
    <w:rPr>
      <w:rFonts w:ascii="Times New Roman" w:hAnsi="Times New Roman" w:eastAsia="宋体" w:cs="Times New Roman"/>
      <w:b/>
      <w:sz w:val="30"/>
      <w:szCs w:val="20"/>
    </w:rPr>
  </w:style>
  <w:style w:type="character" w:styleId="815" w:customStyle="1">
    <w:name w:val="页脚 Char1"/>
    <w:basedOn w:val="756"/>
    <w:link w:val="777"/>
    <w:uiPriority w:val="99"/>
    <w:qFormat/>
    <w:rPr>
      <w:rFonts w:ascii="Times New Roman" w:hAnsi="Times New Roman" w:eastAsia="宋体" w:cs="Times New Roman"/>
      <w:sz w:val="18"/>
      <w:szCs w:val="20"/>
    </w:rPr>
  </w:style>
  <w:style w:type="character" w:styleId="816" w:customStyle="1">
    <w:name w:val="页眉 Char1"/>
    <w:basedOn w:val="756"/>
    <w:link w:val="778"/>
    <w:uiPriority w:val="99"/>
    <w:qFormat/>
    <w:rPr>
      <w:rFonts w:ascii="Times New Roman" w:hAnsi="Times New Roman" w:eastAsia="宋体" w:cs="Times New Roman"/>
      <w:sz w:val="18"/>
      <w:szCs w:val="20"/>
    </w:rPr>
  </w:style>
  <w:style w:type="character" w:styleId="817" w:customStyle="1">
    <w:name w:val="正文文本 Char1"/>
    <w:basedOn w:val="756"/>
    <w:link w:val="766"/>
    <w:uiPriority w:val="99"/>
    <w:qFormat/>
    <w:rPr>
      <w:rFonts w:ascii="华文中宋" w:hAnsi="Times New Roman" w:eastAsia="华文中宋" w:cs="Times New Roman"/>
      <w:bCs/>
      <w:sz w:val="28"/>
      <w:szCs w:val="20"/>
    </w:rPr>
  </w:style>
  <w:style w:type="character" w:styleId="818" w:customStyle="1">
    <w:name w:val="正文文本缩进 2 Char1"/>
    <w:basedOn w:val="756"/>
    <w:link w:val="774"/>
    <w:uiPriority w:val="99"/>
    <w:qFormat/>
    <w:rPr>
      <w:rFonts w:ascii="楷体_GB2312" w:hAnsi="Times New Roman" w:eastAsia="楷体_GB2312" w:cs="Times New Roman"/>
      <w:b/>
      <w:sz w:val="28"/>
      <w:szCs w:val="20"/>
    </w:rPr>
  </w:style>
  <w:style w:type="character" w:styleId="819" w:customStyle="1">
    <w:name w:val="正文文本缩进 3 Char1"/>
    <w:basedOn w:val="756"/>
    <w:link w:val="785"/>
    <w:uiPriority w:val="99"/>
    <w:qFormat/>
    <w:rPr>
      <w:rFonts w:ascii="Times New Roman" w:hAnsi="Times New Roman" w:eastAsia="宋体" w:cs="Times New Roman"/>
      <w:sz w:val="20"/>
      <w:szCs w:val="20"/>
    </w:rPr>
  </w:style>
  <w:style w:type="paragraph" w:styleId="820" w:customStyle="1">
    <w:name w:val="font5"/>
    <w:basedOn w:val="746"/>
    <w:uiPriority w:val="0"/>
    <w:qFormat/>
    <w:pPr>
      <w:jc w:val="left"/>
      <w:spacing w:before="100" w:beforeAutospacing="1" w:after="100" w:afterAutospacing="1"/>
      <w:widowControl/>
    </w:pPr>
    <w:rPr>
      <w:rFonts w:ascii="宋体" w:hAnsi="宋体" w:eastAsia="宋体" w:cs="Times New Roman"/>
      <w:sz w:val="18"/>
      <w:szCs w:val="18"/>
    </w:rPr>
  </w:style>
  <w:style w:type="paragraph" w:styleId="821" w:customStyle="1">
    <w:name w:val="font6"/>
    <w:basedOn w:val="746"/>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22" w:customStyle="1">
    <w:name w:val="font7"/>
    <w:basedOn w:val="746"/>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23" w:customStyle="1">
    <w:name w:val="font8"/>
    <w:basedOn w:val="746"/>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24" w:customStyle="1">
    <w:name w:val="font9"/>
    <w:basedOn w:val="746"/>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25" w:customStyle="1">
    <w:name w:val="xl2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26" w:customStyle="1">
    <w:name w:val="xl25"/>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7" w:customStyle="1">
    <w:name w:val="xl26"/>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8" w:customStyle="1">
    <w:name w:val="xl2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9" w:customStyle="1">
    <w:name w:val="xl2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0" w:customStyle="1">
    <w:name w:val="xl2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1" w:customStyle="1">
    <w:name w:val="xl30"/>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2" w:customStyle="1">
    <w:name w:val="xl31"/>
    <w:basedOn w:val="74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33" w:customStyle="1">
    <w:name w:val="xl32"/>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4" w:customStyle="1">
    <w:name w:val="xl33"/>
    <w:basedOn w:val="74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5" w:customStyle="1">
    <w:name w:val="xl34"/>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6" w:customStyle="1">
    <w:name w:val="xl35"/>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37" w:customStyle="1">
    <w:name w:val="xl36"/>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8" w:customStyle="1">
    <w:name w:val="xl37"/>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39" w:customStyle="1">
    <w:name w:val="xl38"/>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0" w:customStyle="1">
    <w:name w:val="xl39"/>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1" w:customStyle="1">
    <w:name w:val="xl40"/>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42" w:customStyle="1">
    <w:name w:val="xl41"/>
    <w:basedOn w:val="7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3" w:customStyle="1">
    <w:name w:val="xl42"/>
    <w:basedOn w:val="74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4" w:customStyle="1">
    <w:name w:val="xl43"/>
    <w:basedOn w:val="74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5" w:customStyle="1">
    <w:name w:val="xl44"/>
    <w:basedOn w:val="74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46" w:customStyle="1">
    <w:name w:val="xl45"/>
    <w:basedOn w:val="746"/>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47" w:customStyle="1">
    <w:name w:val="xl46"/>
    <w:basedOn w:val="746"/>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48" w:customStyle="1">
    <w:name w:val="xl47"/>
    <w:basedOn w:val="74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9" w:customStyle="1">
    <w:name w:val="xl48"/>
    <w:basedOn w:val="74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50" w:customStyle="1">
    <w:name w:val="xl49"/>
    <w:basedOn w:val="746"/>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51" w:customStyle="1">
    <w:name w:val="xl50"/>
    <w:basedOn w:val="74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2" w:customStyle="1">
    <w:name w:val="xl51"/>
    <w:basedOn w:val="74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53" w:customStyle="1">
    <w:name w:val="xl52"/>
    <w:basedOn w:val="746"/>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54" w:customStyle="1">
    <w:name w:val="xl53"/>
    <w:basedOn w:val="74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5" w:customStyle="1">
    <w:name w:val="xl54"/>
    <w:basedOn w:val="74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56" w:customStyle="1">
    <w:name w:val="xl55"/>
    <w:basedOn w:val="746"/>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57" w:customStyle="1">
    <w:name w:val="xl56"/>
    <w:basedOn w:val="74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8" w:customStyle="1">
    <w:name w:val="xl57"/>
    <w:basedOn w:val="74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59" w:customStyle="1">
    <w:name w:val="xl58"/>
    <w:basedOn w:val="746"/>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60" w:customStyle="1">
    <w:name w:val="xl59"/>
    <w:basedOn w:val="74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61" w:customStyle="1">
    <w:name w:val="xl60"/>
    <w:basedOn w:val="74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62" w:customStyle="1">
    <w:name w:val="xl61"/>
    <w:basedOn w:val="746"/>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63" w:customStyle="1">
    <w:name w:val="xl62"/>
    <w:basedOn w:val="74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64" w:customStyle="1">
    <w:name w:val="xl63"/>
    <w:basedOn w:val="74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65" w:customStyle="1">
    <w:name w:val="font10"/>
    <w:basedOn w:val="746"/>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66" w:customStyle="1">
    <w:name w:val="font11"/>
    <w:basedOn w:val="746"/>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67" w:customStyle="1">
    <w:name w:val="font12"/>
    <w:basedOn w:val="746"/>
    <w:uiPriority w:val="99"/>
    <w:qFormat/>
    <w:pPr>
      <w:jc w:val="left"/>
      <w:spacing w:before="100" w:beforeAutospacing="1" w:after="100" w:afterAutospacing="1"/>
      <w:widowControl/>
    </w:pPr>
    <w:rPr>
      <w:rFonts w:ascii="宋体" w:hAnsi="宋体" w:eastAsia="宋体" w:cs="Times New Roman"/>
      <w:sz w:val="36"/>
      <w:szCs w:val="36"/>
    </w:rPr>
  </w:style>
  <w:style w:type="paragraph" w:styleId="868" w:customStyle="1">
    <w:name w:val="font13"/>
    <w:basedOn w:val="746"/>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69" w:customStyle="1">
    <w:name w:val="font14"/>
    <w:basedOn w:val="746"/>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70" w:customStyle="1">
    <w:name w:val="case31"/>
    <w:uiPriority w:val="99"/>
    <w:qFormat/>
    <w:rPr>
      <w:rFonts w:cs="Times New Roman"/>
      <w:spacing w:val="390"/>
      <w:sz w:val="21"/>
      <w:szCs w:val="21"/>
    </w:rPr>
  </w:style>
  <w:style w:type="paragraph" w:styleId="871" w:customStyle="1">
    <w:name w:val="普通文字"/>
    <w:basedOn w:val="746"/>
    <w:next w:val="746"/>
    <w:uiPriority w:val="99"/>
    <w:qFormat/>
    <w:rPr>
      <w:rFonts w:ascii="宋体" w:hAnsi="Times New Roman" w:eastAsia="宋体" w:cs="Times New Roman"/>
      <w:sz w:val="24"/>
      <w:szCs w:val="20"/>
    </w:rPr>
  </w:style>
  <w:style w:type="paragraph" w:styleId="872" w:customStyle="1">
    <w:name w:val="默认段落字体 Para Char"/>
    <w:basedOn w:val="746"/>
    <w:uiPriority w:val="99"/>
    <w:qFormat/>
    <w:pPr>
      <w:ind w:left="552" w:hanging="420"/>
      <w:tabs>
        <w:tab w:val="left" w:pos="552" w:leader="none"/>
      </w:tabs>
    </w:pPr>
    <w:rPr>
      <w:rFonts w:ascii="Times New Roman" w:hAnsi="Times New Roman" w:eastAsia="宋体" w:cs="Times New Roman"/>
      <w:sz w:val="24"/>
      <w:szCs w:val="24"/>
    </w:rPr>
  </w:style>
  <w:style w:type="character" w:styleId="873" w:customStyle="1">
    <w:name w:val="文档结构图 Char1"/>
    <w:basedOn w:val="756"/>
    <w:link w:val="764"/>
    <w:uiPriority w:val="99"/>
    <w:semiHidden/>
    <w:qFormat/>
    <w:rPr>
      <w:rFonts w:ascii="Times New Roman" w:hAnsi="Times New Roman" w:eastAsia="宋体" w:cs="Times New Roman"/>
      <w:sz w:val="20"/>
      <w:szCs w:val="20"/>
      <w:shd w:val="clear" w:color="auto" w:fill="000080"/>
    </w:rPr>
  </w:style>
  <w:style w:type="character" w:styleId="874" w:customStyle="1">
    <w:name w:val="正文文本 2 Char1"/>
    <w:basedOn w:val="756"/>
    <w:link w:val="789"/>
    <w:uiPriority w:val="99"/>
    <w:qFormat/>
    <w:rPr>
      <w:rFonts w:ascii="Times New Roman" w:hAnsi="Times New Roman" w:eastAsia="宋体" w:cs="Times New Roman"/>
      <w:sz w:val="20"/>
      <w:szCs w:val="20"/>
    </w:rPr>
  </w:style>
  <w:style w:type="paragraph" w:styleId="875" w:customStyle="1">
    <w:name w:val="Char Char Char Char"/>
    <w:basedOn w:val="764"/>
    <w:uiPriority w:val="0"/>
    <w:qFormat/>
    <w:pPr>
      <w:spacing w:line="360" w:lineRule="auto"/>
    </w:pPr>
    <w:rPr>
      <w:rFonts w:ascii="Tahoma" w:hAnsi="Tahoma"/>
      <w:sz w:val="24"/>
      <w:szCs w:val="24"/>
    </w:rPr>
  </w:style>
  <w:style w:type="paragraph" w:styleId="876" w:customStyle="1">
    <w:name w:val="Char Char1 Char Char Char Char"/>
    <w:basedOn w:val="764"/>
    <w:uiPriority w:val="99"/>
    <w:qFormat/>
    <w:pPr>
      <w:ind w:left="357"/>
      <w:jc w:val="left"/>
      <w:spacing w:line="436" w:lineRule="exact"/>
      <w:outlineLvl w:val="3"/>
    </w:pPr>
    <w:rPr>
      <w:rFonts w:ascii="Tahoma" w:hAnsi="Tahoma"/>
      <w:b/>
      <w:sz w:val="24"/>
      <w:szCs w:val="24"/>
    </w:rPr>
  </w:style>
  <w:style w:type="paragraph" w:styleId="877">
    <w:name w:val="List Paragraph"/>
    <w:basedOn w:val="746"/>
    <w:uiPriority w:val="34"/>
    <w:qFormat/>
    <w:pPr>
      <w:numPr>
        <w:ilvl w:val="0"/>
        <w:numId w:val="2"/>
      </w:numPr>
      <w:spacing w:line="360" w:lineRule="auto"/>
    </w:pPr>
    <w:rPr>
      <w:rFonts w:eastAsia="宋体" w:cs="宋体" w:asciiTheme="minorEastAsia" w:hAnsiTheme="minorEastAsia"/>
      <w:b/>
      <w:sz w:val="24"/>
      <w:szCs w:val="20"/>
    </w:rPr>
  </w:style>
  <w:style w:type="paragraph" w:styleId="878" w:customStyle="1">
    <w:name w:val="修订1"/>
    <w:hidden/>
    <w:uiPriority w:val="99"/>
    <w:semiHidden/>
    <w:qFormat/>
    <w:rPr>
      <w:rFonts w:hint="default" w:ascii="Times New Roman" w:hAnsi="Times New Roman" w:eastAsia="宋体" w:cs="Times New Roman"/>
      <w:sz w:val="21"/>
    </w:rPr>
  </w:style>
  <w:style w:type="character" w:styleId="879" w:customStyle="1">
    <w:name w:val="批注框文本 Char1"/>
    <w:basedOn w:val="756"/>
    <w:link w:val="776"/>
    <w:uiPriority w:val="99"/>
    <w:semiHidden/>
    <w:qFormat/>
    <w:rPr>
      <w:rFonts w:ascii="Times New Roman" w:hAnsi="Times New Roman" w:eastAsia="宋体" w:cs="Times New Roman"/>
      <w:sz w:val="18"/>
      <w:szCs w:val="18"/>
    </w:rPr>
  </w:style>
  <w:style w:type="character" w:styleId="880" w:customStyle="1">
    <w:name w:val="批注文字 Char1"/>
    <w:basedOn w:val="756"/>
    <w:link w:val="765"/>
    <w:uiPriority w:val="99"/>
    <w:semiHidden/>
    <w:qFormat/>
  </w:style>
  <w:style w:type="character" w:styleId="881" w:customStyle="1">
    <w:name w:val="批注主题 Char1"/>
    <w:basedOn w:val="880"/>
    <w:link w:val="792"/>
    <w:uiPriority w:val="99"/>
    <w:semiHidden/>
    <w:qFormat/>
    <w:rPr>
      <w:b/>
      <w:bCs/>
    </w:rPr>
  </w:style>
  <w:style w:type="paragraph" w:styleId="882" w:customStyle="1">
    <w:name w:val="列表段落1"/>
    <w:basedOn w:val="746"/>
    <w:uiPriority w:val="34"/>
    <w:qFormat/>
    <w:pPr>
      <w:ind w:firstLine="420"/>
    </w:pPr>
  </w:style>
  <w:style w:type="paragraph" w:styleId="883" w:customStyle="1">
    <w:name w:val="样式 小四 段前: 5 磅 段后: 5 磅 首行缩进:  2 字符"/>
    <w:basedOn w:val="746"/>
    <w:uiPriority w:val="0"/>
    <w:qFormat/>
    <w:pPr>
      <w:spacing w:line="360" w:lineRule="auto"/>
    </w:pPr>
    <w:rPr>
      <w:rFonts w:ascii="宋体" w:hAnsi="宋体"/>
      <w:szCs w:val="21"/>
    </w:rPr>
  </w:style>
  <w:style w:type="character" w:styleId="884" w:customStyle="1">
    <w:name w:val="正文首行缩进 2 Char1"/>
    <w:basedOn w:val="814"/>
    <w:link w:val="794"/>
    <w:uiPriority w:val="99"/>
    <w:semiHidden/>
    <w:qFormat/>
    <w:rPr>
      <w:rFonts w:ascii="Times New Roman" w:hAnsi="Times New Roman" w:eastAsia="宋体" w:cs="Times New Roman"/>
      <w:b w:val="0"/>
      <w:sz w:val="21"/>
      <w:szCs w:val="22"/>
    </w:rPr>
  </w:style>
  <w:style w:type="table" w:styleId="885" w:customStyle="1">
    <w:name w:val="网格型1"/>
    <w:basedOn w:val="7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customStyle="1">
    <w:name w:val="网格型2"/>
    <w:basedOn w:val="7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customStyle="1">
    <w:name w:val="网格型3"/>
    <w:basedOn w:val="7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customStyle="1">
    <w:name w:val="网格型4"/>
    <w:basedOn w:val="75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9" w:customStyle="1">
    <w:name w:val="List Paragraph1"/>
    <w:basedOn w:val="746"/>
    <w:uiPriority w:val="0"/>
    <w:qFormat/>
    <w:pPr>
      <w:ind w:firstLine="420"/>
    </w:pPr>
    <w:rPr>
      <w:szCs w:val="21"/>
    </w:rPr>
  </w:style>
  <w:style w:type="paragraph" w:styleId="890" w:customStyle="1">
    <w:name w:val="标题 31"/>
    <w:basedOn w:val="746"/>
    <w:next w:val="746"/>
    <w:link w:val="891"/>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91" w:customStyle="1">
    <w:name w:val="标题 3 Char"/>
    <w:link w:val="890"/>
    <w:uiPriority w:val="0"/>
    <w:qFormat/>
    <w:rPr>
      <w:rFonts w:ascii="Times New Roman" w:hAnsi="Times New Roman" w:eastAsia="宋体" w:cs="Times New Roman"/>
      <w:b/>
      <w:bCs/>
      <w:sz w:val="32"/>
      <w:szCs w:val="32"/>
      <w:lang w:eastAsia="en-US"/>
    </w:rPr>
  </w:style>
  <w:style w:type="character" w:styleId="892" w:customStyle="1">
    <w:name w:val="标题 6 Char1"/>
    <w:basedOn w:val="756"/>
    <w:link w:val="752"/>
    <w:uiPriority w:val="9"/>
    <w:qFormat/>
    <w:rPr>
      <w:rFonts w:ascii="Arial" w:hAnsi="Arial" w:eastAsia="Arial" w:cs="Arial"/>
      <w:b/>
      <w:bCs/>
      <w:sz w:val="22"/>
      <w:szCs w:val="22"/>
    </w:rPr>
  </w:style>
  <w:style w:type="character" w:styleId="893" w:customStyle="1">
    <w:name w:val="标题 7 Char1"/>
    <w:basedOn w:val="756"/>
    <w:link w:val="753"/>
    <w:uiPriority w:val="9"/>
    <w:qFormat/>
    <w:rPr>
      <w:rFonts w:ascii="Arial" w:hAnsi="Arial" w:eastAsia="Arial" w:cs="Arial"/>
      <w:b/>
      <w:bCs/>
      <w:i/>
      <w:iCs/>
      <w:sz w:val="22"/>
      <w:szCs w:val="22"/>
    </w:rPr>
  </w:style>
  <w:style w:type="character" w:styleId="894" w:customStyle="1">
    <w:name w:val="标题 8 Char1"/>
    <w:basedOn w:val="756"/>
    <w:link w:val="754"/>
    <w:uiPriority w:val="9"/>
    <w:qFormat/>
    <w:rPr>
      <w:rFonts w:ascii="Arial" w:hAnsi="Arial" w:eastAsia="Arial" w:cs="Arial"/>
      <w:i/>
      <w:iCs/>
      <w:sz w:val="22"/>
      <w:szCs w:val="22"/>
    </w:rPr>
  </w:style>
  <w:style w:type="character" w:styleId="895" w:customStyle="1">
    <w:name w:val="标题 9 Char1"/>
    <w:basedOn w:val="756"/>
    <w:link w:val="755"/>
    <w:uiPriority w:val="9"/>
    <w:qFormat/>
    <w:rPr>
      <w:rFonts w:ascii="Arial" w:hAnsi="Arial" w:eastAsia="Arial" w:cs="Arial"/>
      <w:i/>
      <w:iCs/>
      <w:sz w:val="21"/>
      <w:szCs w:val="21"/>
    </w:rPr>
  </w:style>
  <w:style w:type="character" w:styleId="896" w:customStyle="1">
    <w:name w:val="Heading 1 Char"/>
    <w:uiPriority w:val="9"/>
    <w:qFormat/>
    <w:rPr>
      <w:rFonts w:ascii="Arial" w:hAnsi="Arial" w:eastAsia="Arial" w:cs="Arial"/>
      <w:sz w:val="40"/>
      <w:szCs w:val="40"/>
    </w:rPr>
  </w:style>
  <w:style w:type="character" w:styleId="897" w:customStyle="1">
    <w:name w:val="Heading 2 Char"/>
    <w:uiPriority w:val="9"/>
    <w:qFormat/>
    <w:rPr>
      <w:rFonts w:ascii="Arial" w:hAnsi="Arial" w:eastAsia="Arial" w:cs="Arial"/>
      <w:sz w:val="34"/>
    </w:rPr>
  </w:style>
  <w:style w:type="character" w:styleId="898" w:customStyle="1">
    <w:name w:val="Heading 3 Char"/>
    <w:uiPriority w:val="9"/>
    <w:qFormat/>
    <w:rPr>
      <w:rFonts w:ascii="Arial" w:hAnsi="Arial" w:eastAsia="Arial" w:cs="Arial"/>
      <w:sz w:val="30"/>
      <w:szCs w:val="30"/>
    </w:rPr>
  </w:style>
  <w:style w:type="character" w:styleId="899" w:customStyle="1">
    <w:name w:val="Heading 4 Char"/>
    <w:uiPriority w:val="9"/>
    <w:qFormat/>
    <w:rPr>
      <w:rFonts w:ascii="Arial" w:hAnsi="Arial" w:eastAsia="Arial" w:cs="Arial"/>
      <w:b/>
      <w:bCs/>
      <w:sz w:val="26"/>
      <w:szCs w:val="26"/>
    </w:rPr>
  </w:style>
  <w:style w:type="character" w:styleId="900" w:customStyle="1">
    <w:name w:val="Heading 5 Char"/>
    <w:uiPriority w:val="9"/>
    <w:qFormat/>
    <w:rPr>
      <w:rFonts w:ascii="Arial" w:hAnsi="Arial" w:eastAsia="Arial" w:cs="Arial"/>
      <w:b/>
      <w:bCs/>
      <w:sz w:val="24"/>
      <w:szCs w:val="24"/>
    </w:rPr>
  </w:style>
  <w:style w:type="character" w:styleId="901" w:customStyle="1">
    <w:name w:val="Heading 6 Char"/>
    <w:uiPriority w:val="9"/>
    <w:qFormat/>
    <w:rPr>
      <w:rFonts w:ascii="Arial" w:hAnsi="Arial" w:eastAsia="Arial" w:cs="Arial"/>
      <w:b/>
      <w:bCs/>
      <w:sz w:val="22"/>
      <w:szCs w:val="22"/>
    </w:rPr>
  </w:style>
  <w:style w:type="character" w:styleId="902" w:customStyle="1">
    <w:name w:val="Heading 7 Char"/>
    <w:uiPriority w:val="9"/>
    <w:qFormat/>
    <w:rPr>
      <w:rFonts w:ascii="Arial" w:hAnsi="Arial" w:eastAsia="Arial" w:cs="Arial"/>
      <w:b/>
      <w:bCs/>
      <w:i/>
      <w:iCs/>
      <w:sz w:val="22"/>
      <w:szCs w:val="22"/>
    </w:rPr>
  </w:style>
  <w:style w:type="character" w:styleId="903" w:customStyle="1">
    <w:name w:val="Heading 8 Char"/>
    <w:uiPriority w:val="9"/>
    <w:qFormat/>
    <w:rPr>
      <w:rFonts w:ascii="Arial" w:hAnsi="Arial" w:eastAsia="Arial" w:cs="Arial"/>
      <w:i/>
      <w:iCs/>
      <w:sz w:val="22"/>
      <w:szCs w:val="22"/>
    </w:rPr>
  </w:style>
  <w:style w:type="character" w:styleId="904" w:customStyle="1">
    <w:name w:val="Heading 9 Char"/>
    <w:uiPriority w:val="9"/>
    <w:qFormat/>
    <w:rPr>
      <w:rFonts w:ascii="Arial" w:hAnsi="Arial" w:eastAsia="Arial" w:cs="Arial"/>
      <w:i/>
      <w:iCs/>
      <w:sz w:val="21"/>
      <w:szCs w:val="21"/>
    </w:rPr>
  </w:style>
  <w:style w:type="paragraph" w:styleId="905">
    <w:name w:val="No Spacing"/>
    <w:uiPriority w:val="1"/>
    <w:qFormat/>
    <w:rPr>
      <w:rFonts w:hint="default" w:ascii="Calibri" w:hAnsi="Calibri" w:eastAsia="宋体" w:cs="Times New Roman"/>
    </w:rPr>
  </w:style>
  <w:style w:type="character" w:styleId="906" w:customStyle="1">
    <w:name w:val="标题 Char"/>
    <w:basedOn w:val="756"/>
    <w:link w:val="791"/>
    <w:uiPriority w:val="10"/>
    <w:qFormat/>
    <w:rPr>
      <w:rFonts w:ascii="Times New Roman" w:hAnsi="Times New Roman" w:eastAsia="宋体" w:cs="Times New Roman"/>
      <w:sz w:val="48"/>
      <w:szCs w:val="48"/>
    </w:rPr>
  </w:style>
  <w:style w:type="character" w:styleId="907" w:customStyle="1">
    <w:name w:val="Title Char"/>
    <w:uiPriority w:val="10"/>
    <w:qFormat/>
    <w:rPr>
      <w:sz w:val="48"/>
      <w:szCs w:val="48"/>
    </w:rPr>
  </w:style>
  <w:style w:type="character" w:styleId="908" w:customStyle="1">
    <w:name w:val="Subtitle Char"/>
    <w:uiPriority w:val="11"/>
    <w:qFormat/>
    <w:rPr>
      <w:sz w:val="24"/>
      <w:szCs w:val="24"/>
    </w:rPr>
  </w:style>
  <w:style w:type="paragraph" w:styleId="909">
    <w:name w:val="Quote"/>
    <w:basedOn w:val="746"/>
    <w:next w:val="746"/>
    <w:link w:val="910"/>
    <w:uiPriority w:val="29"/>
    <w:qFormat/>
    <w:pPr>
      <w:ind w:left="720" w:right="720"/>
    </w:pPr>
    <w:rPr>
      <w:rFonts w:ascii="Times New Roman" w:hAnsi="Times New Roman" w:eastAsia="宋体" w:cs="Times New Roman"/>
      <w:i/>
      <w:szCs w:val="21"/>
    </w:rPr>
  </w:style>
  <w:style w:type="character" w:styleId="910" w:customStyle="1">
    <w:name w:val="引用 Char"/>
    <w:basedOn w:val="756"/>
    <w:link w:val="909"/>
    <w:uiPriority w:val="29"/>
    <w:qFormat/>
    <w:rPr>
      <w:rFonts w:ascii="Times New Roman" w:hAnsi="Times New Roman" w:eastAsia="宋体" w:cs="Times New Roman"/>
      <w:i/>
      <w:sz w:val="21"/>
      <w:szCs w:val="21"/>
    </w:rPr>
  </w:style>
  <w:style w:type="character" w:styleId="911" w:customStyle="1">
    <w:name w:val="Quote Char"/>
    <w:uiPriority w:val="29"/>
    <w:qFormat/>
    <w:rPr>
      <w:i/>
    </w:rPr>
  </w:style>
  <w:style w:type="paragraph" w:styleId="912">
    <w:name w:val="Intense Quote"/>
    <w:basedOn w:val="746"/>
    <w:next w:val="746"/>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13" w:customStyle="1">
    <w:name w:val="明显引用 Char"/>
    <w:basedOn w:val="756"/>
    <w:link w:val="912"/>
    <w:uiPriority w:val="30"/>
    <w:qFormat/>
    <w:rPr>
      <w:rFonts w:ascii="Times New Roman" w:hAnsi="Times New Roman" w:eastAsia="宋体" w:cs="Times New Roman"/>
      <w:i/>
      <w:sz w:val="21"/>
      <w:szCs w:val="21"/>
      <w:shd w:val="clear" w:color="auto" w:fill="f2f2f2"/>
    </w:rPr>
  </w:style>
  <w:style w:type="character" w:styleId="914" w:customStyle="1">
    <w:name w:val="Intense Quote Char"/>
    <w:uiPriority w:val="30"/>
    <w:qFormat/>
    <w:rPr>
      <w:i/>
    </w:rPr>
  </w:style>
  <w:style w:type="character" w:styleId="915" w:customStyle="1">
    <w:name w:val="Header Char"/>
    <w:uiPriority w:val="99"/>
    <w:qFormat/>
  </w:style>
  <w:style w:type="character" w:styleId="916" w:customStyle="1">
    <w:name w:val="Footer Char"/>
    <w:uiPriority w:val="99"/>
    <w:qFormat/>
  </w:style>
  <w:style w:type="character" w:styleId="917" w:customStyle="1">
    <w:name w:val="Caption Char"/>
    <w:uiPriority w:val="99"/>
    <w:qFormat/>
  </w:style>
  <w:style w:type="character" w:styleId="918" w:customStyle="1">
    <w:name w:val="脚注文本 Char"/>
    <w:basedOn w:val="756"/>
    <w:link w:val="783"/>
    <w:uiPriority w:val="99"/>
    <w:qFormat/>
    <w:rPr>
      <w:rFonts w:ascii="Times New Roman" w:hAnsi="Times New Roman" w:eastAsia="宋体" w:cs="Times New Roman"/>
      <w:sz w:val="18"/>
      <w:szCs w:val="21"/>
    </w:rPr>
  </w:style>
  <w:style w:type="character" w:styleId="919" w:customStyle="1">
    <w:name w:val="Footnote Text Char"/>
    <w:uiPriority w:val="99"/>
    <w:qFormat/>
    <w:rPr>
      <w:sz w:val="18"/>
    </w:rPr>
  </w:style>
  <w:style w:type="character" w:styleId="920" w:customStyle="1">
    <w:name w:val="尾注文本 Char"/>
    <w:basedOn w:val="756"/>
    <w:link w:val="775"/>
    <w:uiPriority w:val="99"/>
    <w:qFormat/>
    <w:rPr>
      <w:rFonts w:ascii="Times New Roman" w:hAnsi="Times New Roman" w:eastAsia="宋体" w:cs="Times New Roman"/>
      <w:szCs w:val="21"/>
    </w:rPr>
  </w:style>
  <w:style w:type="character" w:styleId="921" w:customStyle="1">
    <w:name w:val="Endnote Text Char"/>
    <w:uiPriority w:val="99"/>
    <w:qFormat/>
    <w:rPr>
      <w:sz w:val="20"/>
    </w:rPr>
  </w:style>
  <w:style w:type="paragraph" w:styleId="922" w:customStyle="1">
    <w:name w:val="目录 71"/>
    <w:basedOn w:val="746"/>
    <w:next w:val="746"/>
    <w:uiPriority w:val="39"/>
    <w:unhideWhenUsed/>
    <w:qFormat/>
    <w:pPr>
      <w:ind w:left="1701"/>
      <w:spacing w:after="57"/>
    </w:pPr>
    <w:rPr>
      <w:rFonts w:ascii="Times New Roman" w:hAnsi="Times New Roman" w:eastAsia="宋体" w:cs="Times New Roman"/>
      <w:szCs w:val="21"/>
    </w:rPr>
  </w:style>
  <w:style w:type="paragraph" w:styleId="923" w:customStyle="1">
    <w:name w:val="目录 51"/>
    <w:basedOn w:val="746"/>
    <w:next w:val="746"/>
    <w:uiPriority w:val="39"/>
    <w:unhideWhenUsed/>
    <w:qFormat/>
    <w:pPr>
      <w:ind w:left="1134"/>
      <w:spacing w:after="57"/>
    </w:pPr>
    <w:rPr>
      <w:rFonts w:ascii="Times New Roman" w:hAnsi="Times New Roman" w:eastAsia="宋体" w:cs="Times New Roman"/>
      <w:szCs w:val="21"/>
    </w:rPr>
  </w:style>
  <w:style w:type="paragraph" w:styleId="924" w:customStyle="1">
    <w:name w:val="目录 31"/>
    <w:basedOn w:val="746"/>
    <w:next w:val="746"/>
    <w:uiPriority w:val="39"/>
    <w:unhideWhenUsed/>
    <w:qFormat/>
    <w:pPr>
      <w:ind w:left="567"/>
      <w:spacing w:after="57"/>
    </w:pPr>
    <w:rPr>
      <w:rFonts w:ascii="Times New Roman" w:hAnsi="Times New Roman" w:eastAsia="宋体" w:cs="Times New Roman"/>
      <w:szCs w:val="21"/>
    </w:rPr>
  </w:style>
  <w:style w:type="paragraph" w:styleId="925" w:customStyle="1">
    <w:name w:val="目录 81"/>
    <w:basedOn w:val="746"/>
    <w:next w:val="746"/>
    <w:uiPriority w:val="39"/>
    <w:unhideWhenUsed/>
    <w:qFormat/>
    <w:pPr>
      <w:ind w:left="1984"/>
      <w:spacing w:after="57"/>
    </w:pPr>
    <w:rPr>
      <w:rFonts w:ascii="Times New Roman" w:hAnsi="Times New Roman" w:eastAsia="宋体" w:cs="Times New Roman"/>
      <w:szCs w:val="21"/>
    </w:rPr>
  </w:style>
  <w:style w:type="character" w:styleId="926" w:customStyle="1">
    <w:name w:val="页脚 字符1"/>
    <w:uiPriority w:val="99"/>
    <w:qFormat/>
  </w:style>
  <w:style w:type="paragraph" w:styleId="927" w:customStyle="1">
    <w:name w:val="目录 11"/>
    <w:basedOn w:val="746"/>
    <w:next w:val="746"/>
    <w:uiPriority w:val="39"/>
    <w:unhideWhenUsed/>
    <w:qFormat/>
    <w:pPr>
      <w:spacing w:after="57"/>
    </w:pPr>
    <w:rPr>
      <w:rFonts w:ascii="Times New Roman" w:hAnsi="Times New Roman" w:eastAsia="宋体" w:cs="Times New Roman"/>
      <w:szCs w:val="21"/>
    </w:rPr>
  </w:style>
  <w:style w:type="paragraph" w:styleId="928" w:customStyle="1">
    <w:name w:val="目录 41"/>
    <w:basedOn w:val="746"/>
    <w:next w:val="746"/>
    <w:uiPriority w:val="39"/>
    <w:unhideWhenUsed/>
    <w:qFormat/>
    <w:pPr>
      <w:ind w:left="850"/>
      <w:spacing w:after="57"/>
    </w:pPr>
    <w:rPr>
      <w:rFonts w:ascii="Times New Roman" w:hAnsi="Times New Roman" w:eastAsia="宋体" w:cs="Times New Roman"/>
      <w:szCs w:val="21"/>
    </w:rPr>
  </w:style>
  <w:style w:type="character" w:styleId="929" w:customStyle="1">
    <w:name w:val="副标题 Char"/>
    <w:link w:val="781"/>
    <w:uiPriority w:val="11"/>
    <w:qFormat/>
    <w:rPr>
      <w:rFonts w:ascii="Arial" w:hAnsi="Arial"/>
      <w:b/>
      <w:bCs/>
      <w:sz w:val="32"/>
      <w:szCs w:val="32"/>
    </w:rPr>
  </w:style>
  <w:style w:type="paragraph" w:styleId="930" w:customStyle="1">
    <w:name w:val="目录 61"/>
    <w:basedOn w:val="746"/>
    <w:next w:val="746"/>
    <w:uiPriority w:val="39"/>
    <w:unhideWhenUsed/>
    <w:qFormat/>
    <w:pPr>
      <w:ind w:left="1417"/>
      <w:spacing w:after="57"/>
    </w:pPr>
    <w:rPr>
      <w:rFonts w:ascii="Times New Roman" w:hAnsi="Times New Roman" w:eastAsia="宋体" w:cs="Times New Roman"/>
      <w:szCs w:val="21"/>
    </w:rPr>
  </w:style>
  <w:style w:type="paragraph" w:styleId="931" w:customStyle="1">
    <w:name w:val="目录 91"/>
    <w:basedOn w:val="746"/>
    <w:next w:val="746"/>
    <w:uiPriority w:val="39"/>
    <w:unhideWhenUsed/>
    <w:qFormat/>
    <w:pPr>
      <w:ind w:left="2268"/>
      <w:spacing w:after="57"/>
    </w:pPr>
    <w:rPr>
      <w:rFonts w:ascii="Times New Roman" w:hAnsi="Times New Roman" w:eastAsia="宋体" w:cs="Times New Roman"/>
      <w:szCs w:val="21"/>
    </w:rPr>
  </w:style>
  <w:style w:type="character" w:styleId="932" w:customStyle="1">
    <w:name w:val="font5 Char"/>
    <w:uiPriority w:val="0"/>
    <w:qFormat/>
    <w:rPr>
      <w:rFonts w:ascii="宋体" w:hAnsi="宋体" w:eastAsia="宋体"/>
      <w:sz w:val="28"/>
      <w:szCs w:val="28"/>
      <w:lang w:val="en-US" w:eastAsia="zh-CN" w:bidi="ar-SA"/>
    </w:rPr>
  </w:style>
  <w:style w:type="paragraph" w:styleId="933" w:customStyle="1">
    <w:name w:val="列出段落2"/>
    <w:basedOn w:val="746"/>
    <w:uiPriority w:val="34"/>
    <w:qFormat/>
    <w:pPr>
      <w:contextualSpacing/>
      <w:ind w:left="720"/>
    </w:pPr>
    <w:rPr>
      <w:rFonts w:ascii="Times New Roman" w:hAnsi="Times New Roman" w:eastAsia="宋体" w:cs="Times New Roman"/>
      <w:szCs w:val="21"/>
    </w:rPr>
  </w:style>
  <w:style w:type="table" w:styleId="934" w:customStyle="1">
    <w:name w:val="Table Grid Light"/>
    <w:uiPriority w:val="59"/>
    <w:qFormat/>
    <w:rPr>
      <w:rFonts w:ascii="Calibri" w:hAnsi="Calibri" w:eastAsia="宋体" w:cs="Times New Roman"/>
    </w:rPr>
    <w:tblPr>
      <w:tblCellMar>
        <w:left w:w="0" w:type="dxa"/>
        <w:top w:w="0" w:type="dxa"/>
        <w:right w:w="0" w:type="dxa"/>
        <w:bottom w:w="0" w:type="dxa"/>
      </w:tblCellMar>
    </w:tblPr>
  </w:style>
  <w:style w:type="table" w:styleId="935" w:customStyle="1">
    <w:name w:val="Plain Table 1"/>
    <w:uiPriority w:val="59"/>
    <w:qFormat/>
    <w:rPr>
      <w:rFonts w:ascii="Calibri" w:hAnsi="Calibri" w:eastAsia="宋体" w:cs="Times New Roman"/>
    </w:rPr>
    <w:tblPr>
      <w:tblCellMar>
        <w:left w:w="0" w:type="dxa"/>
        <w:top w:w="0" w:type="dxa"/>
        <w:right w:w="0" w:type="dxa"/>
        <w:bottom w:w="0" w:type="dxa"/>
      </w:tblCellMar>
    </w:tblPr>
  </w:style>
  <w:style w:type="table" w:styleId="936" w:customStyle="1">
    <w:name w:val="Plain Table 2"/>
    <w:uiPriority w:val="59"/>
    <w:qFormat/>
    <w:rPr>
      <w:rFonts w:ascii="Calibri" w:hAnsi="Calibri" w:eastAsia="宋体" w:cs="Times New Roman"/>
    </w:rPr>
    <w:tblPr>
      <w:tblCellMar>
        <w:left w:w="0" w:type="dxa"/>
        <w:top w:w="0" w:type="dxa"/>
        <w:right w:w="0" w:type="dxa"/>
        <w:bottom w:w="0" w:type="dxa"/>
      </w:tblCellMar>
    </w:tblPr>
  </w:style>
  <w:style w:type="table" w:styleId="937" w:customStyle="1">
    <w:name w:val="Plain Table 3"/>
    <w:uiPriority w:val="99"/>
    <w:qFormat/>
    <w:rPr>
      <w:rFonts w:ascii="Calibri" w:hAnsi="Calibri" w:eastAsia="宋体" w:cs="Times New Roman"/>
    </w:rPr>
    <w:tblPr>
      <w:tblCellMar>
        <w:left w:w="0" w:type="dxa"/>
        <w:top w:w="0" w:type="dxa"/>
        <w:right w:w="0" w:type="dxa"/>
        <w:bottom w:w="0" w:type="dxa"/>
      </w:tblCellMar>
    </w:tblPr>
  </w:style>
  <w:style w:type="table" w:styleId="938" w:customStyle="1">
    <w:name w:val="Plain Table 4"/>
    <w:uiPriority w:val="99"/>
    <w:qFormat/>
    <w:rPr>
      <w:rFonts w:ascii="Calibri" w:hAnsi="Calibri" w:eastAsia="宋体" w:cs="Times New Roman"/>
    </w:rPr>
    <w:tblPr>
      <w:tblCellMar>
        <w:left w:w="0" w:type="dxa"/>
        <w:top w:w="0" w:type="dxa"/>
        <w:right w:w="0" w:type="dxa"/>
        <w:bottom w:w="0" w:type="dxa"/>
      </w:tblCellMar>
    </w:tblPr>
  </w:style>
  <w:style w:type="table" w:styleId="939" w:customStyle="1">
    <w:name w:val="Plain Table 5"/>
    <w:uiPriority w:val="99"/>
    <w:qFormat/>
    <w:rPr>
      <w:rFonts w:ascii="Calibri" w:hAnsi="Calibri" w:eastAsia="宋体" w:cs="Times New Roman"/>
    </w:rPr>
    <w:tblPr>
      <w:tblCellMar>
        <w:left w:w="0" w:type="dxa"/>
        <w:top w:w="0" w:type="dxa"/>
        <w:right w:w="0" w:type="dxa"/>
        <w:bottom w:w="0" w:type="dxa"/>
      </w:tblCellMar>
    </w:tblPr>
  </w:style>
  <w:style w:type="table" w:styleId="940" w:customStyle="1">
    <w:name w:val="Grid Table 1 Light"/>
    <w:uiPriority w:val="99"/>
    <w:qFormat/>
    <w:rPr>
      <w:rFonts w:ascii="Calibri" w:hAnsi="Calibri" w:eastAsia="宋体" w:cs="Times New Roman"/>
    </w:rPr>
    <w:tblPr>
      <w:tblCellMar>
        <w:left w:w="0" w:type="dxa"/>
        <w:top w:w="0" w:type="dxa"/>
        <w:right w:w="0" w:type="dxa"/>
        <w:bottom w:w="0" w:type="dxa"/>
      </w:tblCellMar>
    </w:tblPr>
  </w:style>
  <w:style w:type="table" w:styleId="941" w:customStyle="1">
    <w:name w:val="Grid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942" w:customStyle="1">
    <w:name w:val="Grid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943" w:customStyle="1">
    <w:name w:val="Grid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944" w:customStyle="1">
    <w:name w:val="Grid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945" w:customStyle="1">
    <w:name w:val="Grid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946" w:customStyle="1">
    <w:name w:val="Grid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947" w:customStyle="1">
    <w:name w:val="Grid Table 2"/>
    <w:uiPriority w:val="99"/>
    <w:qFormat/>
    <w:rPr>
      <w:rFonts w:ascii="Calibri" w:hAnsi="Calibri" w:eastAsia="宋体" w:cs="Times New Roman"/>
    </w:rPr>
    <w:tblPr>
      <w:tblCellMar>
        <w:left w:w="0" w:type="dxa"/>
        <w:top w:w="0" w:type="dxa"/>
        <w:right w:w="0" w:type="dxa"/>
        <w:bottom w:w="0" w:type="dxa"/>
      </w:tblCellMar>
    </w:tblPr>
  </w:style>
  <w:style w:type="table" w:styleId="948" w:customStyle="1">
    <w:name w:val="Grid Table 2 - Accent 1"/>
    <w:uiPriority w:val="99"/>
    <w:qFormat/>
    <w:rPr>
      <w:rFonts w:ascii="Calibri" w:hAnsi="Calibri" w:eastAsia="宋体" w:cs="Times New Roman"/>
    </w:rPr>
    <w:tblPr>
      <w:tblCellMar>
        <w:left w:w="0" w:type="dxa"/>
        <w:top w:w="0" w:type="dxa"/>
        <w:right w:w="0" w:type="dxa"/>
        <w:bottom w:w="0" w:type="dxa"/>
      </w:tblCellMar>
    </w:tblPr>
  </w:style>
  <w:style w:type="table" w:styleId="949" w:customStyle="1">
    <w:name w:val="Grid Table 2 - Accent 2"/>
    <w:uiPriority w:val="99"/>
    <w:qFormat/>
    <w:rPr>
      <w:rFonts w:ascii="Calibri" w:hAnsi="Calibri" w:eastAsia="宋体" w:cs="Times New Roman"/>
    </w:rPr>
    <w:tblPr>
      <w:tblCellMar>
        <w:left w:w="0" w:type="dxa"/>
        <w:top w:w="0" w:type="dxa"/>
        <w:right w:w="0" w:type="dxa"/>
        <w:bottom w:w="0" w:type="dxa"/>
      </w:tblCellMar>
    </w:tblPr>
  </w:style>
  <w:style w:type="table" w:styleId="950" w:customStyle="1">
    <w:name w:val="Grid Table 2 - Accent 3"/>
    <w:uiPriority w:val="99"/>
    <w:qFormat/>
    <w:rPr>
      <w:rFonts w:ascii="Calibri" w:hAnsi="Calibri" w:eastAsia="宋体" w:cs="Times New Roman"/>
    </w:rPr>
    <w:tblPr>
      <w:tblCellMar>
        <w:left w:w="0" w:type="dxa"/>
        <w:top w:w="0" w:type="dxa"/>
        <w:right w:w="0" w:type="dxa"/>
        <w:bottom w:w="0" w:type="dxa"/>
      </w:tblCellMar>
    </w:tblPr>
  </w:style>
  <w:style w:type="table" w:styleId="951" w:customStyle="1">
    <w:name w:val="Grid Table 2 - Accent 4"/>
    <w:uiPriority w:val="99"/>
    <w:qFormat/>
    <w:rPr>
      <w:rFonts w:ascii="Calibri" w:hAnsi="Calibri" w:eastAsia="宋体" w:cs="Times New Roman"/>
    </w:rPr>
    <w:tblPr>
      <w:tblCellMar>
        <w:left w:w="0" w:type="dxa"/>
        <w:top w:w="0" w:type="dxa"/>
        <w:right w:w="0" w:type="dxa"/>
        <w:bottom w:w="0" w:type="dxa"/>
      </w:tblCellMar>
    </w:tblPr>
  </w:style>
  <w:style w:type="table" w:styleId="952" w:customStyle="1">
    <w:name w:val="Grid Table 2 - Accent 5"/>
    <w:uiPriority w:val="99"/>
    <w:qFormat/>
    <w:rPr>
      <w:rFonts w:ascii="Calibri" w:hAnsi="Calibri" w:eastAsia="宋体" w:cs="Times New Roman"/>
    </w:rPr>
    <w:tblPr>
      <w:tblCellMar>
        <w:left w:w="0" w:type="dxa"/>
        <w:top w:w="0" w:type="dxa"/>
        <w:right w:w="0" w:type="dxa"/>
        <w:bottom w:w="0" w:type="dxa"/>
      </w:tblCellMar>
    </w:tblPr>
  </w:style>
  <w:style w:type="table" w:styleId="953" w:customStyle="1">
    <w:name w:val="Grid Table 2 - Accent 6"/>
    <w:uiPriority w:val="99"/>
    <w:qFormat/>
    <w:rPr>
      <w:rFonts w:ascii="Calibri" w:hAnsi="Calibri" w:eastAsia="宋体" w:cs="Times New Roman"/>
    </w:rPr>
    <w:tblPr>
      <w:tblCellMar>
        <w:left w:w="0" w:type="dxa"/>
        <w:top w:w="0" w:type="dxa"/>
        <w:right w:w="0" w:type="dxa"/>
        <w:bottom w:w="0" w:type="dxa"/>
      </w:tblCellMar>
    </w:tblPr>
  </w:style>
  <w:style w:type="table" w:styleId="954" w:customStyle="1">
    <w:name w:val="Grid Table 3"/>
    <w:uiPriority w:val="99"/>
    <w:qFormat/>
    <w:rPr>
      <w:rFonts w:ascii="Calibri" w:hAnsi="Calibri" w:eastAsia="宋体" w:cs="Times New Roman"/>
    </w:rPr>
    <w:tblPr>
      <w:tblCellMar>
        <w:left w:w="0" w:type="dxa"/>
        <w:top w:w="0" w:type="dxa"/>
        <w:right w:w="0" w:type="dxa"/>
        <w:bottom w:w="0" w:type="dxa"/>
      </w:tblCellMar>
    </w:tblPr>
  </w:style>
  <w:style w:type="table" w:styleId="955" w:customStyle="1">
    <w:name w:val="Grid Table 3 - Accent 1"/>
    <w:uiPriority w:val="99"/>
    <w:qFormat/>
    <w:rPr>
      <w:rFonts w:ascii="Calibri" w:hAnsi="Calibri" w:eastAsia="宋体" w:cs="Times New Roman"/>
    </w:rPr>
    <w:tblPr>
      <w:tblCellMar>
        <w:left w:w="0" w:type="dxa"/>
        <w:top w:w="0" w:type="dxa"/>
        <w:right w:w="0" w:type="dxa"/>
        <w:bottom w:w="0" w:type="dxa"/>
      </w:tblCellMar>
    </w:tblPr>
  </w:style>
  <w:style w:type="table" w:styleId="956" w:customStyle="1">
    <w:name w:val="Grid Table 3 - Accent 2"/>
    <w:uiPriority w:val="99"/>
    <w:qFormat/>
    <w:rPr>
      <w:rFonts w:ascii="Calibri" w:hAnsi="Calibri" w:eastAsia="宋体" w:cs="Times New Roman"/>
    </w:rPr>
    <w:tblPr>
      <w:tblCellMar>
        <w:left w:w="0" w:type="dxa"/>
        <w:top w:w="0" w:type="dxa"/>
        <w:right w:w="0" w:type="dxa"/>
        <w:bottom w:w="0" w:type="dxa"/>
      </w:tblCellMar>
    </w:tblPr>
  </w:style>
  <w:style w:type="table" w:styleId="957" w:customStyle="1">
    <w:name w:val="Grid Table 3 - Accent 3"/>
    <w:uiPriority w:val="99"/>
    <w:qFormat/>
    <w:rPr>
      <w:rFonts w:ascii="Calibri" w:hAnsi="Calibri" w:eastAsia="宋体" w:cs="Times New Roman"/>
    </w:rPr>
    <w:tblPr>
      <w:tblCellMar>
        <w:left w:w="0" w:type="dxa"/>
        <w:top w:w="0" w:type="dxa"/>
        <w:right w:w="0" w:type="dxa"/>
        <w:bottom w:w="0" w:type="dxa"/>
      </w:tblCellMar>
    </w:tblPr>
  </w:style>
  <w:style w:type="table" w:styleId="958" w:customStyle="1">
    <w:name w:val="Grid Table 3 - Accent 4"/>
    <w:uiPriority w:val="99"/>
    <w:qFormat/>
    <w:rPr>
      <w:rFonts w:ascii="Calibri" w:hAnsi="Calibri" w:eastAsia="宋体" w:cs="Times New Roman"/>
    </w:rPr>
    <w:tblPr>
      <w:tblCellMar>
        <w:left w:w="0" w:type="dxa"/>
        <w:top w:w="0" w:type="dxa"/>
        <w:right w:w="0" w:type="dxa"/>
        <w:bottom w:w="0" w:type="dxa"/>
      </w:tblCellMar>
    </w:tblPr>
  </w:style>
  <w:style w:type="table" w:styleId="959" w:customStyle="1">
    <w:name w:val="Grid Table 3 - Accent 5"/>
    <w:uiPriority w:val="99"/>
    <w:qFormat/>
    <w:rPr>
      <w:rFonts w:ascii="Calibri" w:hAnsi="Calibri" w:eastAsia="宋体" w:cs="Times New Roman"/>
    </w:rPr>
    <w:tblPr>
      <w:tblCellMar>
        <w:left w:w="0" w:type="dxa"/>
        <w:top w:w="0" w:type="dxa"/>
        <w:right w:w="0" w:type="dxa"/>
        <w:bottom w:w="0" w:type="dxa"/>
      </w:tblCellMar>
    </w:tblPr>
  </w:style>
  <w:style w:type="table" w:styleId="960" w:customStyle="1">
    <w:name w:val="Grid Table 3 - Accent 6"/>
    <w:uiPriority w:val="99"/>
    <w:qFormat/>
    <w:rPr>
      <w:rFonts w:ascii="Calibri" w:hAnsi="Calibri" w:eastAsia="宋体" w:cs="Times New Roman"/>
    </w:rPr>
    <w:tblPr>
      <w:tblCellMar>
        <w:left w:w="0" w:type="dxa"/>
        <w:top w:w="0" w:type="dxa"/>
        <w:right w:w="0" w:type="dxa"/>
        <w:bottom w:w="0" w:type="dxa"/>
      </w:tblCellMar>
    </w:tblPr>
  </w:style>
  <w:style w:type="table" w:styleId="961" w:customStyle="1">
    <w:name w:val="Grid Table 4"/>
    <w:uiPriority w:val="59"/>
    <w:qFormat/>
    <w:rPr>
      <w:rFonts w:ascii="Calibri" w:hAnsi="Calibri" w:eastAsia="宋体" w:cs="Times New Roman"/>
    </w:rPr>
    <w:tblPr>
      <w:tblCellMar>
        <w:left w:w="0" w:type="dxa"/>
        <w:top w:w="0" w:type="dxa"/>
        <w:right w:w="0" w:type="dxa"/>
        <w:bottom w:w="0" w:type="dxa"/>
      </w:tblCellMar>
    </w:tblPr>
  </w:style>
  <w:style w:type="table" w:styleId="962" w:customStyle="1">
    <w:name w:val="Grid Table 4 - Accent 1"/>
    <w:uiPriority w:val="59"/>
    <w:qFormat/>
    <w:rPr>
      <w:rFonts w:ascii="Calibri" w:hAnsi="Calibri" w:eastAsia="宋体" w:cs="Times New Roman"/>
    </w:rPr>
    <w:tblPr>
      <w:tblCellMar>
        <w:left w:w="0" w:type="dxa"/>
        <w:top w:w="0" w:type="dxa"/>
        <w:right w:w="0" w:type="dxa"/>
        <w:bottom w:w="0" w:type="dxa"/>
      </w:tblCellMar>
    </w:tblPr>
  </w:style>
  <w:style w:type="table" w:styleId="963" w:customStyle="1">
    <w:name w:val="Grid Table 4 - Accent 2"/>
    <w:uiPriority w:val="59"/>
    <w:qFormat/>
    <w:rPr>
      <w:rFonts w:ascii="Calibri" w:hAnsi="Calibri" w:eastAsia="宋体" w:cs="Times New Roman"/>
    </w:rPr>
    <w:tblPr>
      <w:tblCellMar>
        <w:left w:w="0" w:type="dxa"/>
        <w:top w:w="0" w:type="dxa"/>
        <w:right w:w="0" w:type="dxa"/>
        <w:bottom w:w="0" w:type="dxa"/>
      </w:tblCellMar>
    </w:tblPr>
  </w:style>
  <w:style w:type="table" w:styleId="964" w:customStyle="1">
    <w:name w:val="Grid Table 4 - Accent 3"/>
    <w:uiPriority w:val="59"/>
    <w:qFormat/>
    <w:rPr>
      <w:rFonts w:ascii="Calibri" w:hAnsi="Calibri" w:eastAsia="宋体" w:cs="Times New Roman"/>
    </w:rPr>
    <w:tblPr>
      <w:tblCellMar>
        <w:left w:w="0" w:type="dxa"/>
        <w:top w:w="0" w:type="dxa"/>
        <w:right w:w="0" w:type="dxa"/>
        <w:bottom w:w="0" w:type="dxa"/>
      </w:tblCellMar>
    </w:tblPr>
  </w:style>
  <w:style w:type="table" w:styleId="965" w:customStyle="1">
    <w:name w:val="Grid Table 4 - Accent 4"/>
    <w:uiPriority w:val="59"/>
    <w:qFormat/>
    <w:rPr>
      <w:rFonts w:ascii="Calibri" w:hAnsi="Calibri" w:eastAsia="宋体" w:cs="Times New Roman"/>
    </w:rPr>
    <w:tblPr>
      <w:tblCellMar>
        <w:left w:w="0" w:type="dxa"/>
        <w:top w:w="0" w:type="dxa"/>
        <w:right w:w="0" w:type="dxa"/>
        <w:bottom w:w="0" w:type="dxa"/>
      </w:tblCellMar>
    </w:tblPr>
  </w:style>
  <w:style w:type="table" w:styleId="966" w:customStyle="1">
    <w:name w:val="Grid Table 4 - Accent 5"/>
    <w:uiPriority w:val="59"/>
    <w:qFormat/>
    <w:rPr>
      <w:rFonts w:ascii="Calibri" w:hAnsi="Calibri" w:eastAsia="宋体" w:cs="Times New Roman"/>
    </w:rPr>
    <w:tblPr>
      <w:tblCellMar>
        <w:left w:w="0" w:type="dxa"/>
        <w:top w:w="0" w:type="dxa"/>
        <w:right w:w="0" w:type="dxa"/>
        <w:bottom w:w="0" w:type="dxa"/>
      </w:tblCellMar>
    </w:tblPr>
  </w:style>
  <w:style w:type="table" w:styleId="967" w:customStyle="1">
    <w:name w:val="Grid Table 4 - Accent 6"/>
    <w:uiPriority w:val="59"/>
    <w:qFormat/>
    <w:rPr>
      <w:rFonts w:ascii="Calibri" w:hAnsi="Calibri" w:eastAsia="宋体" w:cs="Times New Roman"/>
    </w:rPr>
    <w:tblPr>
      <w:tblCellMar>
        <w:left w:w="0" w:type="dxa"/>
        <w:top w:w="0" w:type="dxa"/>
        <w:right w:w="0" w:type="dxa"/>
        <w:bottom w:w="0" w:type="dxa"/>
      </w:tblCellMar>
    </w:tblPr>
  </w:style>
  <w:style w:type="table" w:styleId="968" w:customStyle="1">
    <w:name w:val="Grid Table 5 Dark"/>
    <w:uiPriority w:val="99"/>
    <w:qFormat/>
    <w:rPr>
      <w:rFonts w:ascii="Calibri" w:hAnsi="Calibri" w:eastAsia="宋体" w:cs="Times New Roman"/>
    </w:rPr>
    <w:tblPr>
      <w:tblCellMar>
        <w:left w:w="0" w:type="dxa"/>
        <w:top w:w="0" w:type="dxa"/>
        <w:right w:w="0" w:type="dxa"/>
        <w:bottom w:w="0" w:type="dxa"/>
      </w:tblCellMar>
    </w:tblPr>
  </w:style>
  <w:style w:type="table" w:styleId="969" w:customStyle="1">
    <w:name w:val="Grid Table 5 Dark- Accent 1"/>
    <w:uiPriority w:val="99"/>
    <w:qFormat/>
    <w:rPr>
      <w:rFonts w:ascii="Calibri" w:hAnsi="Calibri" w:eastAsia="宋体" w:cs="Times New Roman"/>
    </w:rPr>
    <w:tblPr>
      <w:tblCellMar>
        <w:left w:w="0" w:type="dxa"/>
        <w:top w:w="0" w:type="dxa"/>
        <w:right w:w="0" w:type="dxa"/>
        <w:bottom w:w="0" w:type="dxa"/>
      </w:tblCellMar>
    </w:tblPr>
  </w:style>
  <w:style w:type="table" w:styleId="970" w:customStyle="1">
    <w:name w:val="Grid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971" w:customStyle="1">
    <w:name w:val="Grid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972" w:customStyle="1">
    <w:name w:val="Grid Table 5 Dark- Accent 4"/>
    <w:uiPriority w:val="99"/>
    <w:qFormat/>
    <w:rPr>
      <w:rFonts w:ascii="Calibri" w:hAnsi="Calibri" w:eastAsia="宋体" w:cs="Times New Roman"/>
    </w:rPr>
    <w:tblPr>
      <w:tblCellMar>
        <w:left w:w="0" w:type="dxa"/>
        <w:top w:w="0" w:type="dxa"/>
        <w:right w:w="0" w:type="dxa"/>
        <w:bottom w:w="0" w:type="dxa"/>
      </w:tblCellMar>
    </w:tblPr>
  </w:style>
  <w:style w:type="table" w:styleId="973" w:customStyle="1">
    <w:name w:val="Grid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974" w:customStyle="1">
    <w:name w:val="Grid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975" w:customStyle="1">
    <w:name w:val="Grid Table 6 Colorful"/>
    <w:uiPriority w:val="99"/>
    <w:qFormat/>
    <w:rPr>
      <w:rFonts w:ascii="Calibri" w:hAnsi="Calibri" w:eastAsia="宋体" w:cs="Times New Roman"/>
    </w:rPr>
    <w:tblPr>
      <w:tblCellMar>
        <w:left w:w="0" w:type="dxa"/>
        <w:top w:w="0" w:type="dxa"/>
        <w:right w:w="0" w:type="dxa"/>
        <w:bottom w:w="0" w:type="dxa"/>
      </w:tblCellMar>
    </w:tblPr>
  </w:style>
  <w:style w:type="table" w:styleId="976" w:customStyle="1">
    <w:name w:val="Grid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977" w:customStyle="1">
    <w:name w:val="Grid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978" w:customStyle="1">
    <w:name w:val="Grid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979" w:customStyle="1">
    <w:name w:val="Grid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980" w:customStyle="1">
    <w:name w:val="Grid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981" w:customStyle="1">
    <w:name w:val="Grid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982" w:customStyle="1">
    <w:name w:val="Grid Table 7 Colorful"/>
    <w:uiPriority w:val="99"/>
    <w:qFormat/>
    <w:rPr>
      <w:rFonts w:ascii="Calibri" w:hAnsi="Calibri" w:eastAsia="宋体" w:cs="Times New Roman"/>
    </w:rPr>
    <w:tblPr>
      <w:tblCellMar>
        <w:left w:w="0" w:type="dxa"/>
        <w:top w:w="0" w:type="dxa"/>
        <w:right w:w="0" w:type="dxa"/>
        <w:bottom w:w="0" w:type="dxa"/>
      </w:tblCellMar>
    </w:tblPr>
  </w:style>
  <w:style w:type="table" w:styleId="983" w:customStyle="1">
    <w:name w:val="Grid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984" w:customStyle="1">
    <w:name w:val="Grid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985" w:customStyle="1">
    <w:name w:val="Grid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986" w:customStyle="1">
    <w:name w:val="Grid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987" w:customStyle="1">
    <w:name w:val="Grid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988" w:customStyle="1">
    <w:name w:val="Grid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989" w:customStyle="1">
    <w:name w:val="List Table 1 Light"/>
    <w:uiPriority w:val="99"/>
    <w:qFormat/>
    <w:rPr>
      <w:rFonts w:ascii="Calibri" w:hAnsi="Calibri" w:eastAsia="宋体" w:cs="Times New Roman"/>
    </w:rPr>
    <w:tblPr>
      <w:tblCellMar>
        <w:left w:w="0" w:type="dxa"/>
        <w:top w:w="0" w:type="dxa"/>
        <w:right w:w="0" w:type="dxa"/>
        <w:bottom w:w="0" w:type="dxa"/>
      </w:tblCellMar>
    </w:tblPr>
  </w:style>
  <w:style w:type="table" w:styleId="990"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991"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992"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993"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994"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995"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996" w:customStyle="1">
    <w:name w:val="List Table 2"/>
    <w:uiPriority w:val="99"/>
    <w:qFormat/>
    <w:rPr>
      <w:rFonts w:ascii="Calibri" w:hAnsi="Calibri" w:eastAsia="宋体" w:cs="Times New Roman"/>
    </w:rPr>
    <w:tblPr>
      <w:tblCellMar>
        <w:left w:w="0" w:type="dxa"/>
        <w:top w:w="0" w:type="dxa"/>
        <w:right w:w="0" w:type="dxa"/>
        <w:bottom w:w="0" w:type="dxa"/>
      </w:tblCellMar>
    </w:tblPr>
  </w:style>
  <w:style w:type="table" w:styleId="997" w:customStyle="1">
    <w:name w:val="List Table 2 - Accent 1"/>
    <w:uiPriority w:val="99"/>
    <w:qFormat/>
    <w:rPr>
      <w:rFonts w:ascii="Calibri" w:hAnsi="Calibri" w:eastAsia="宋体" w:cs="Times New Roman"/>
    </w:rPr>
    <w:tblPr>
      <w:tblCellMar>
        <w:left w:w="0" w:type="dxa"/>
        <w:top w:w="0" w:type="dxa"/>
        <w:right w:w="0" w:type="dxa"/>
        <w:bottom w:w="0" w:type="dxa"/>
      </w:tblCellMar>
    </w:tblPr>
  </w:style>
  <w:style w:type="table" w:styleId="998" w:customStyle="1">
    <w:name w:val="List Table 2 - Accent 2"/>
    <w:uiPriority w:val="99"/>
    <w:qFormat/>
    <w:rPr>
      <w:rFonts w:ascii="Calibri" w:hAnsi="Calibri" w:eastAsia="宋体" w:cs="Times New Roman"/>
    </w:rPr>
    <w:tblPr>
      <w:tblCellMar>
        <w:left w:w="0" w:type="dxa"/>
        <w:top w:w="0" w:type="dxa"/>
        <w:right w:w="0" w:type="dxa"/>
        <w:bottom w:w="0" w:type="dxa"/>
      </w:tblCellMar>
    </w:tblPr>
  </w:style>
  <w:style w:type="table" w:styleId="999" w:customStyle="1">
    <w:name w:val="List Table 2 - Accent 3"/>
    <w:uiPriority w:val="99"/>
    <w:qFormat/>
    <w:rPr>
      <w:rFonts w:ascii="Calibri" w:hAnsi="Calibri" w:eastAsia="宋体" w:cs="Times New Roman"/>
    </w:rPr>
    <w:tblPr>
      <w:tblCellMar>
        <w:left w:w="0" w:type="dxa"/>
        <w:top w:w="0" w:type="dxa"/>
        <w:right w:w="0" w:type="dxa"/>
        <w:bottom w:w="0" w:type="dxa"/>
      </w:tblCellMar>
    </w:tblPr>
  </w:style>
  <w:style w:type="table" w:styleId="1000" w:customStyle="1">
    <w:name w:val="List Table 2 - Accent 4"/>
    <w:uiPriority w:val="99"/>
    <w:qFormat/>
    <w:rPr>
      <w:rFonts w:ascii="Calibri" w:hAnsi="Calibri" w:eastAsia="宋体" w:cs="Times New Roman"/>
    </w:rPr>
    <w:tblPr>
      <w:tblCellMar>
        <w:left w:w="0" w:type="dxa"/>
        <w:top w:w="0" w:type="dxa"/>
        <w:right w:w="0" w:type="dxa"/>
        <w:bottom w:w="0" w:type="dxa"/>
      </w:tblCellMar>
    </w:tblPr>
  </w:style>
  <w:style w:type="table" w:styleId="1001" w:customStyle="1">
    <w:name w:val="List Table 2 - Accent 5"/>
    <w:uiPriority w:val="99"/>
    <w:qFormat/>
    <w:rPr>
      <w:rFonts w:ascii="Calibri" w:hAnsi="Calibri" w:eastAsia="宋体" w:cs="Times New Roman"/>
    </w:rPr>
    <w:tblPr>
      <w:tblCellMar>
        <w:left w:w="0" w:type="dxa"/>
        <w:top w:w="0" w:type="dxa"/>
        <w:right w:w="0" w:type="dxa"/>
        <w:bottom w:w="0" w:type="dxa"/>
      </w:tblCellMar>
    </w:tblPr>
  </w:style>
  <w:style w:type="table" w:styleId="1002" w:customStyle="1">
    <w:name w:val="List Table 2 - Accent 6"/>
    <w:uiPriority w:val="99"/>
    <w:qFormat/>
    <w:rPr>
      <w:rFonts w:ascii="Calibri" w:hAnsi="Calibri" w:eastAsia="宋体" w:cs="Times New Roman"/>
    </w:rPr>
    <w:tblPr>
      <w:tblCellMar>
        <w:left w:w="0" w:type="dxa"/>
        <w:top w:w="0" w:type="dxa"/>
        <w:right w:w="0" w:type="dxa"/>
        <w:bottom w:w="0" w:type="dxa"/>
      </w:tblCellMar>
    </w:tblPr>
  </w:style>
  <w:style w:type="table" w:styleId="1003" w:customStyle="1">
    <w:name w:val="List Table 3"/>
    <w:uiPriority w:val="99"/>
    <w:qFormat/>
    <w:rPr>
      <w:rFonts w:ascii="Calibri" w:hAnsi="Calibri" w:eastAsia="宋体" w:cs="Times New Roman"/>
    </w:rPr>
    <w:tblPr>
      <w:tblCellMar>
        <w:left w:w="0" w:type="dxa"/>
        <w:top w:w="0" w:type="dxa"/>
        <w:right w:w="0" w:type="dxa"/>
        <w:bottom w:w="0" w:type="dxa"/>
      </w:tblCellMar>
    </w:tblPr>
  </w:style>
  <w:style w:type="table" w:styleId="1004" w:customStyle="1">
    <w:name w:val="List Table 3 - Accent 1"/>
    <w:uiPriority w:val="99"/>
    <w:qFormat/>
    <w:rPr>
      <w:rFonts w:ascii="Calibri" w:hAnsi="Calibri" w:eastAsia="宋体" w:cs="Times New Roman"/>
    </w:rPr>
    <w:tblPr>
      <w:tblCellMar>
        <w:left w:w="0" w:type="dxa"/>
        <w:top w:w="0" w:type="dxa"/>
        <w:right w:w="0" w:type="dxa"/>
        <w:bottom w:w="0" w:type="dxa"/>
      </w:tblCellMar>
    </w:tblPr>
  </w:style>
  <w:style w:type="table" w:styleId="1005" w:customStyle="1">
    <w:name w:val="List Table 3 - Accent 2"/>
    <w:uiPriority w:val="99"/>
    <w:qFormat/>
    <w:rPr>
      <w:rFonts w:ascii="Calibri" w:hAnsi="Calibri" w:eastAsia="宋体" w:cs="Times New Roman"/>
    </w:rPr>
    <w:tblPr>
      <w:tblCellMar>
        <w:left w:w="0" w:type="dxa"/>
        <w:top w:w="0" w:type="dxa"/>
        <w:right w:w="0" w:type="dxa"/>
        <w:bottom w:w="0" w:type="dxa"/>
      </w:tblCellMar>
    </w:tblPr>
  </w:style>
  <w:style w:type="table" w:styleId="1006" w:customStyle="1">
    <w:name w:val="List Table 3 - Accent 3"/>
    <w:uiPriority w:val="99"/>
    <w:qFormat/>
    <w:rPr>
      <w:rFonts w:ascii="Calibri" w:hAnsi="Calibri" w:eastAsia="宋体" w:cs="Times New Roman"/>
    </w:rPr>
    <w:tblPr>
      <w:tblCellMar>
        <w:left w:w="0" w:type="dxa"/>
        <w:top w:w="0" w:type="dxa"/>
        <w:right w:w="0" w:type="dxa"/>
        <w:bottom w:w="0" w:type="dxa"/>
      </w:tblCellMar>
    </w:tblPr>
  </w:style>
  <w:style w:type="table" w:styleId="1007" w:customStyle="1">
    <w:name w:val="List Table 3 - Accent 4"/>
    <w:uiPriority w:val="99"/>
    <w:qFormat/>
    <w:rPr>
      <w:rFonts w:ascii="Calibri" w:hAnsi="Calibri" w:eastAsia="宋体" w:cs="Times New Roman"/>
    </w:rPr>
    <w:tblPr>
      <w:tblCellMar>
        <w:left w:w="0" w:type="dxa"/>
        <w:top w:w="0" w:type="dxa"/>
        <w:right w:w="0" w:type="dxa"/>
        <w:bottom w:w="0" w:type="dxa"/>
      </w:tblCellMar>
    </w:tblPr>
  </w:style>
  <w:style w:type="table" w:styleId="1008" w:customStyle="1">
    <w:name w:val="List Table 3 - Accent 5"/>
    <w:uiPriority w:val="99"/>
    <w:qFormat/>
    <w:rPr>
      <w:rFonts w:ascii="Calibri" w:hAnsi="Calibri" w:eastAsia="宋体" w:cs="Times New Roman"/>
    </w:rPr>
    <w:tblPr>
      <w:tblCellMar>
        <w:left w:w="0" w:type="dxa"/>
        <w:top w:w="0" w:type="dxa"/>
        <w:right w:w="0" w:type="dxa"/>
        <w:bottom w:w="0" w:type="dxa"/>
      </w:tblCellMar>
    </w:tblPr>
  </w:style>
  <w:style w:type="table" w:styleId="1009" w:customStyle="1">
    <w:name w:val="List Table 3 - Accent 6"/>
    <w:uiPriority w:val="99"/>
    <w:qFormat/>
    <w:rPr>
      <w:rFonts w:ascii="Calibri" w:hAnsi="Calibri" w:eastAsia="宋体" w:cs="Times New Roman"/>
    </w:rPr>
    <w:tblPr>
      <w:tblCellMar>
        <w:left w:w="0" w:type="dxa"/>
        <w:top w:w="0" w:type="dxa"/>
        <w:right w:w="0" w:type="dxa"/>
        <w:bottom w:w="0" w:type="dxa"/>
      </w:tblCellMar>
    </w:tblPr>
  </w:style>
  <w:style w:type="table" w:styleId="1010" w:customStyle="1">
    <w:name w:val="List Table 4"/>
    <w:uiPriority w:val="99"/>
    <w:qFormat/>
    <w:rPr>
      <w:rFonts w:ascii="Calibri" w:hAnsi="Calibri" w:eastAsia="宋体" w:cs="Times New Roman"/>
    </w:rPr>
    <w:tblPr>
      <w:tblCellMar>
        <w:left w:w="0" w:type="dxa"/>
        <w:top w:w="0" w:type="dxa"/>
        <w:right w:w="0" w:type="dxa"/>
        <w:bottom w:w="0" w:type="dxa"/>
      </w:tblCellMar>
    </w:tblPr>
  </w:style>
  <w:style w:type="table" w:styleId="1011" w:customStyle="1">
    <w:name w:val="List Table 4 - Accent 1"/>
    <w:uiPriority w:val="99"/>
    <w:qFormat/>
    <w:rPr>
      <w:rFonts w:ascii="Calibri" w:hAnsi="Calibri" w:eastAsia="宋体" w:cs="Times New Roman"/>
    </w:rPr>
    <w:tblPr>
      <w:tblCellMar>
        <w:left w:w="0" w:type="dxa"/>
        <w:top w:w="0" w:type="dxa"/>
        <w:right w:w="0" w:type="dxa"/>
        <w:bottom w:w="0" w:type="dxa"/>
      </w:tblCellMar>
    </w:tblPr>
  </w:style>
  <w:style w:type="table" w:styleId="1012" w:customStyle="1">
    <w:name w:val="List Table 4 - Accent 2"/>
    <w:uiPriority w:val="99"/>
    <w:qFormat/>
    <w:rPr>
      <w:rFonts w:ascii="Calibri" w:hAnsi="Calibri" w:eastAsia="宋体" w:cs="Times New Roman"/>
    </w:rPr>
    <w:tblPr>
      <w:tblCellMar>
        <w:left w:w="0" w:type="dxa"/>
        <w:top w:w="0" w:type="dxa"/>
        <w:right w:w="0" w:type="dxa"/>
        <w:bottom w:w="0" w:type="dxa"/>
      </w:tblCellMar>
    </w:tblPr>
  </w:style>
  <w:style w:type="table" w:styleId="1013" w:customStyle="1">
    <w:name w:val="List Table 4 - Accent 3"/>
    <w:uiPriority w:val="99"/>
    <w:qFormat/>
    <w:rPr>
      <w:rFonts w:ascii="Calibri" w:hAnsi="Calibri" w:eastAsia="宋体" w:cs="Times New Roman"/>
    </w:rPr>
    <w:tblPr>
      <w:tblCellMar>
        <w:left w:w="0" w:type="dxa"/>
        <w:top w:w="0" w:type="dxa"/>
        <w:right w:w="0" w:type="dxa"/>
        <w:bottom w:w="0" w:type="dxa"/>
      </w:tblCellMar>
    </w:tblPr>
  </w:style>
  <w:style w:type="table" w:styleId="1014" w:customStyle="1">
    <w:name w:val="List Table 4 - Accent 4"/>
    <w:uiPriority w:val="99"/>
    <w:qFormat/>
    <w:rPr>
      <w:rFonts w:ascii="Calibri" w:hAnsi="Calibri" w:eastAsia="宋体" w:cs="Times New Roman"/>
    </w:rPr>
    <w:tblPr>
      <w:tblCellMar>
        <w:left w:w="0" w:type="dxa"/>
        <w:top w:w="0" w:type="dxa"/>
        <w:right w:w="0" w:type="dxa"/>
        <w:bottom w:w="0" w:type="dxa"/>
      </w:tblCellMar>
    </w:tblPr>
  </w:style>
  <w:style w:type="table" w:styleId="1015" w:customStyle="1">
    <w:name w:val="List Table 4 - Accent 5"/>
    <w:uiPriority w:val="99"/>
    <w:qFormat/>
    <w:rPr>
      <w:rFonts w:ascii="Calibri" w:hAnsi="Calibri" w:eastAsia="宋体" w:cs="Times New Roman"/>
    </w:rPr>
    <w:tblPr>
      <w:tblCellMar>
        <w:left w:w="0" w:type="dxa"/>
        <w:top w:w="0" w:type="dxa"/>
        <w:right w:w="0" w:type="dxa"/>
        <w:bottom w:w="0" w:type="dxa"/>
      </w:tblCellMar>
    </w:tblPr>
  </w:style>
  <w:style w:type="table" w:styleId="1016" w:customStyle="1">
    <w:name w:val="List Table 4 - Accent 6"/>
    <w:uiPriority w:val="99"/>
    <w:qFormat/>
    <w:rPr>
      <w:rFonts w:ascii="Calibri" w:hAnsi="Calibri" w:eastAsia="宋体" w:cs="Times New Roman"/>
    </w:rPr>
    <w:tblPr>
      <w:tblCellMar>
        <w:left w:w="0" w:type="dxa"/>
        <w:top w:w="0" w:type="dxa"/>
        <w:right w:w="0" w:type="dxa"/>
        <w:bottom w:w="0" w:type="dxa"/>
      </w:tblCellMar>
    </w:tblPr>
  </w:style>
  <w:style w:type="table" w:styleId="1017" w:customStyle="1">
    <w:name w:val="List Table 5 Dark"/>
    <w:uiPriority w:val="99"/>
    <w:qFormat/>
    <w:rPr>
      <w:rFonts w:ascii="Calibri" w:hAnsi="Calibri" w:eastAsia="宋体" w:cs="Times New Roman"/>
    </w:rPr>
    <w:tblPr>
      <w:tblCellMar>
        <w:left w:w="0" w:type="dxa"/>
        <w:top w:w="0" w:type="dxa"/>
        <w:right w:w="0" w:type="dxa"/>
        <w:bottom w:w="0" w:type="dxa"/>
      </w:tblCellMar>
    </w:tblPr>
  </w:style>
  <w:style w:type="table" w:styleId="1018" w:customStyle="1">
    <w:name w:val="List Table 5 Dark - Accent 1"/>
    <w:uiPriority w:val="99"/>
    <w:qFormat/>
    <w:rPr>
      <w:rFonts w:ascii="Calibri" w:hAnsi="Calibri" w:eastAsia="宋体" w:cs="Times New Roman"/>
    </w:rPr>
    <w:tblPr>
      <w:tblCellMar>
        <w:left w:w="0" w:type="dxa"/>
        <w:top w:w="0" w:type="dxa"/>
        <w:right w:w="0" w:type="dxa"/>
        <w:bottom w:w="0" w:type="dxa"/>
      </w:tblCellMar>
    </w:tblPr>
  </w:style>
  <w:style w:type="table" w:styleId="1019" w:customStyle="1">
    <w:name w:val="List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1020" w:customStyle="1">
    <w:name w:val="List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1021" w:customStyle="1">
    <w:name w:val="List Table 5 Dark - Accent 4"/>
    <w:uiPriority w:val="99"/>
    <w:qFormat/>
    <w:rPr>
      <w:rFonts w:ascii="Calibri" w:hAnsi="Calibri" w:eastAsia="宋体" w:cs="Times New Roman"/>
    </w:rPr>
    <w:tblPr>
      <w:tblCellMar>
        <w:left w:w="0" w:type="dxa"/>
        <w:top w:w="0" w:type="dxa"/>
        <w:right w:w="0" w:type="dxa"/>
        <w:bottom w:w="0" w:type="dxa"/>
      </w:tblCellMar>
    </w:tblPr>
  </w:style>
  <w:style w:type="table" w:styleId="1022" w:customStyle="1">
    <w:name w:val="List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1023" w:customStyle="1">
    <w:name w:val="List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1024" w:customStyle="1">
    <w:name w:val="List Table 6 Colorful"/>
    <w:uiPriority w:val="99"/>
    <w:qFormat/>
    <w:rPr>
      <w:rFonts w:ascii="Calibri" w:hAnsi="Calibri" w:eastAsia="宋体" w:cs="Times New Roman"/>
    </w:rPr>
    <w:tblPr>
      <w:tblCellMar>
        <w:left w:w="0" w:type="dxa"/>
        <w:top w:w="0" w:type="dxa"/>
        <w:right w:w="0" w:type="dxa"/>
        <w:bottom w:w="0" w:type="dxa"/>
      </w:tblCellMar>
    </w:tblPr>
  </w:style>
  <w:style w:type="table" w:styleId="1025" w:customStyle="1">
    <w:name w:val="List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26" w:customStyle="1">
    <w:name w:val="List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27" w:customStyle="1">
    <w:name w:val="List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28" w:customStyle="1">
    <w:name w:val="List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29" w:customStyle="1">
    <w:name w:val="List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30" w:customStyle="1">
    <w:name w:val="List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31" w:customStyle="1">
    <w:name w:val="List Table 7 Colorful"/>
    <w:uiPriority w:val="99"/>
    <w:qFormat/>
    <w:rPr>
      <w:rFonts w:ascii="Calibri" w:hAnsi="Calibri" w:eastAsia="宋体" w:cs="Times New Roman"/>
    </w:rPr>
    <w:tblPr>
      <w:tblCellMar>
        <w:left w:w="0" w:type="dxa"/>
        <w:top w:w="0" w:type="dxa"/>
        <w:right w:w="0" w:type="dxa"/>
        <w:bottom w:w="0" w:type="dxa"/>
      </w:tblCellMar>
    </w:tblPr>
  </w:style>
  <w:style w:type="table" w:styleId="1032" w:customStyle="1">
    <w:name w:val="List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33" w:customStyle="1">
    <w:name w:val="List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34" w:customStyle="1">
    <w:name w:val="List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35" w:customStyle="1">
    <w:name w:val="List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36" w:customStyle="1">
    <w:name w:val="List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37" w:customStyle="1">
    <w:name w:val="List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38"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9"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0"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1"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2"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3"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4"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5" w:customStyle="1">
    <w:name w:val="Bordered &amp; 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6" w:customStyle="1">
    <w:name w:val="Bordered &amp; 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7" w:customStyle="1">
    <w:name w:val="Bordered &amp; 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8" w:customStyle="1">
    <w:name w:val="Bordered &amp; 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9" w:customStyle="1">
    <w:name w:val="Bordered &amp; 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050" w:customStyle="1">
    <w:name w:val="Bordered &amp; 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051" w:customStyle="1">
    <w:name w:val="Bordered &amp; 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052" w:customStyle="1">
    <w:name w:val="Bordered"/>
    <w:uiPriority w:val="99"/>
    <w:qFormat/>
    <w:rPr>
      <w:rFonts w:ascii="Calibri" w:hAnsi="Calibri" w:eastAsia="宋体" w:cs="Times New Roman"/>
    </w:rPr>
    <w:tblPr>
      <w:tblCellMar>
        <w:left w:w="0" w:type="dxa"/>
        <w:top w:w="0" w:type="dxa"/>
        <w:right w:w="0" w:type="dxa"/>
        <w:bottom w:w="0" w:type="dxa"/>
      </w:tblCellMar>
    </w:tblPr>
  </w:style>
  <w:style w:type="table" w:styleId="1053" w:customStyle="1">
    <w:name w:val="Bordered - Accent 1"/>
    <w:uiPriority w:val="99"/>
    <w:qFormat/>
    <w:rPr>
      <w:rFonts w:ascii="Calibri" w:hAnsi="Calibri" w:eastAsia="宋体" w:cs="Times New Roman"/>
    </w:rPr>
    <w:tblPr>
      <w:tblCellMar>
        <w:left w:w="0" w:type="dxa"/>
        <w:top w:w="0" w:type="dxa"/>
        <w:right w:w="0" w:type="dxa"/>
        <w:bottom w:w="0" w:type="dxa"/>
      </w:tblCellMar>
    </w:tblPr>
  </w:style>
  <w:style w:type="table" w:styleId="1054" w:customStyle="1">
    <w:name w:val="Bordered - Accent 2"/>
    <w:uiPriority w:val="99"/>
    <w:qFormat/>
    <w:rPr>
      <w:rFonts w:ascii="Calibri" w:hAnsi="Calibri" w:eastAsia="宋体" w:cs="Times New Roman"/>
    </w:rPr>
    <w:tblPr>
      <w:tblCellMar>
        <w:left w:w="0" w:type="dxa"/>
        <w:top w:w="0" w:type="dxa"/>
        <w:right w:w="0" w:type="dxa"/>
        <w:bottom w:w="0" w:type="dxa"/>
      </w:tblCellMar>
    </w:tblPr>
  </w:style>
  <w:style w:type="table" w:styleId="1055" w:customStyle="1">
    <w:name w:val="Bordered - Accent 3"/>
    <w:uiPriority w:val="99"/>
    <w:qFormat/>
    <w:rPr>
      <w:rFonts w:ascii="Calibri" w:hAnsi="Calibri" w:eastAsia="宋体" w:cs="Times New Roman"/>
    </w:rPr>
    <w:tblPr>
      <w:tblCellMar>
        <w:left w:w="0" w:type="dxa"/>
        <w:top w:w="0" w:type="dxa"/>
        <w:right w:w="0" w:type="dxa"/>
        <w:bottom w:w="0" w:type="dxa"/>
      </w:tblCellMar>
    </w:tblPr>
  </w:style>
  <w:style w:type="table" w:styleId="1056" w:customStyle="1">
    <w:name w:val="Bordered - Accent 4"/>
    <w:uiPriority w:val="99"/>
    <w:qFormat/>
    <w:rPr>
      <w:rFonts w:ascii="Calibri" w:hAnsi="Calibri" w:eastAsia="宋体" w:cs="Times New Roman"/>
    </w:rPr>
    <w:tblPr>
      <w:tblCellMar>
        <w:left w:w="0" w:type="dxa"/>
        <w:top w:w="0" w:type="dxa"/>
        <w:right w:w="0" w:type="dxa"/>
        <w:bottom w:w="0" w:type="dxa"/>
      </w:tblCellMar>
    </w:tblPr>
  </w:style>
  <w:style w:type="table" w:styleId="1057" w:customStyle="1">
    <w:name w:val="Bordered - Accent 5"/>
    <w:uiPriority w:val="99"/>
    <w:qFormat/>
    <w:rPr>
      <w:rFonts w:ascii="Calibri" w:hAnsi="Calibri" w:eastAsia="宋体" w:cs="Times New Roman"/>
    </w:rPr>
    <w:tblPr>
      <w:tblCellMar>
        <w:left w:w="0" w:type="dxa"/>
        <w:top w:w="0" w:type="dxa"/>
        <w:right w:w="0" w:type="dxa"/>
        <w:bottom w:w="0" w:type="dxa"/>
      </w:tblCellMar>
    </w:tblPr>
  </w:style>
  <w:style w:type="table" w:styleId="1058" w:customStyle="1">
    <w:name w:val="Bordered - Accent 6"/>
    <w:uiPriority w:val="99"/>
    <w:qFormat/>
    <w:rPr>
      <w:rFonts w:ascii="Calibri" w:hAnsi="Calibri" w:eastAsia="宋体" w:cs="Times New Roman"/>
    </w:rPr>
    <w:tblPr>
      <w:tblCellMar>
        <w:left w:w="0" w:type="dxa"/>
        <w:top w:w="0" w:type="dxa"/>
        <w:right w:w="0" w:type="dxa"/>
        <w:bottom w:w="0" w:type="dxa"/>
      </w:tblCellMar>
    </w:tblPr>
  </w:style>
  <w:style w:type="paragraph" w:styleId="1059" w:customStyle="1">
    <w:name w:val="TOC 标题1"/>
    <w:uiPriority w:val="39"/>
    <w:unhideWhenUsed/>
    <w:qFormat/>
    <w:rPr>
      <w:rFonts w:hint="default" w:ascii="Calibri" w:hAnsi="Calibri" w:eastAsia="宋体" w:cs="Times New Roman"/>
    </w:rPr>
  </w:style>
  <w:style w:type="paragraph" w:styleId="1060" w:customStyle="1">
    <w:name w:val="标题 11"/>
    <w:basedOn w:val="746"/>
    <w:next w:val="746"/>
    <w:link w:val="1061"/>
    <w:uiPriority w:val="0"/>
    <w:qFormat/>
    <w:pPr>
      <w:jc w:val="center"/>
      <w:keepNext/>
      <w:outlineLvl w:val="0"/>
    </w:pPr>
    <w:rPr>
      <w:rFonts w:ascii="楷体_GB2312" w:hAnsi="Times New Roman" w:eastAsia="楷体_GB2312" w:cs="Times New Roman"/>
      <w:sz w:val="28"/>
      <w:szCs w:val="28"/>
      <w:lang w:eastAsia="en-US"/>
    </w:rPr>
  </w:style>
  <w:style w:type="character" w:styleId="1061" w:customStyle="1">
    <w:name w:val="标题 1 Char"/>
    <w:link w:val="1060"/>
    <w:uiPriority w:val="0"/>
    <w:qFormat/>
    <w:rPr>
      <w:rFonts w:ascii="楷体_GB2312" w:hAnsi="Times New Roman" w:eastAsia="楷体_GB2312" w:cs="Times New Roman"/>
      <w:sz w:val="28"/>
      <w:szCs w:val="28"/>
      <w:lang w:eastAsia="en-US"/>
    </w:rPr>
  </w:style>
  <w:style w:type="paragraph" w:styleId="1062" w:customStyle="1">
    <w:name w:val="标题 21"/>
    <w:basedOn w:val="746"/>
    <w:next w:val="1063"/>
    <w:link w:val="1064"/>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63" w:customStyle="1">
    <w:name w:val="正文缩进1"/>
    <w:basedOn w:val="746"/>
    <w:link w:val="1065"/>
    <w:uiPriority w:val="0"/>
    <w:qFormat/>
    <w:pPr>
      <w:ind w:firstLine="420"/>
    </w:pPr>
    <w:rPr>
      <w:rFonts w:ascii="Times New Roman" w:hAnsi="Times New Roman" w:eastAsia="宋体" w:cs="Times New Roman"/>
      <w:sz w:val="20"/>
      <w:szCs w:val="21"/>
      <w:lang w:eastAsia="en-US"/>
    </w:rPr>
  </w:style>
  <w:style w:type="character" w:styleId="1064" w:customStyle="1">
    <w:name w:val="标题 2 Char"/>
    <w:link w:val="1062"/>
    <w:uiPriority w:val="0"/>
    <w:qFormat/>
    <w:rPr>
      <w:rFonts w:ascii="Arial" w:hAnsi="Arial" w:eastAsia="幼圆" w:cs="Times New Roman"/>
      <w:b/>
      <w:bCs/>
      <w:sz w:val="44"/>
      <w:szCs w:val="44"/>
      <w:lang w:eastAsia="en-US"/>
    </w:rPr>
  </w:style>
  <w:style w:type="character" w:styleId="1065" w:customStyle="1">
    <w:name w:val="正文缩进 Char"/>
    <w:link w:val="1063"/>
    <w:uiPriority w:val="0"/>
    <w:qFormat/>
    <w:rPr>
      <w:rFonts w:ascii="Times New Roman" w:hAnsi="Times New Roman" w:eastAsia="宋体" w:cs="Times New Roman"/>
      <w:szCs w:val="21"/>
      <w:lang w:eastAsia="en-US"/>
    </w:rPr>
  </w:style>
  <w:style w:type="paragraph" w:styleId="1066" w:customStyle="1">
    <w:name w:val="标题 41"/>
    <w:basedOn w:val="746"/>
    <w:next w:val="1063"/>
    <w:link w:val="1067"/>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67" w:customStyle="1">
    <w:name w:val="标题 4 Char"/>
    <w:link w:val="1066"/>
    <w:uiPriority w:val="0"/>
    <w:qFormat/>
    <w:rPr>
      <w:rFonts w:ascii="Arial" w:hAnsi="Arial" w:eastAsia="黑体" w:cs="Times New Roman"/>
      <w:b/>
      <w:bCs/>
      <w:sz w:val="28"/>
      <w:szCs w:val="28"/>
      <w:lang w:eastAsia="en-US"/>
    </w:rPr>
  </w:style>
  <w:style w:type="paragraph" w:styleId="1068" w:customStyle="1">
    <w:name w:val="标题 51"/>
    <w:basedOn w:val="746"/>
    <w:next w:val="1063"/>
    <w:link w:val="1069"/>
    <w:uiPriority w:val="0"/>
    <w:qFormat/>
    <w:pPr>
      <w:keepNext/>
      <w:outlineLvl w:val="4"/>
    </w:pPr>
    <w:rPr>
      <w:rFonts w:ascii="宋体" w:hAnsi="Times New Roman" w:eastAsia="宋体" w:cs="Times New Roman"/>
      <w:color w:val="000000"/>
      <w:sz w:val="28"/>
      <w:szCs w:val="28"/>
      <w:lang w:eastAsia="en-US"/>
    </w:rPr>
  </w:style>
  <w:style w:type="character" w:styleId="1069" w:customStyle="1">
    <w:name w:val="标题 5 Char"/>
    <w:link w:val="1068"/>
    <w:uiPriority w:val="0"/>
    <w:qFormat/>
    <w:rPr>
      <w:rFonts w:ascii="宋体" w:hAnsi="Times New Roman" w:eastAsia="宋体" w:cs="Times New Roman"/>
      <w:color w:val="000000"/>
      <w:sz w:val="28"/>
      <w:szCs w:val="28"/>
      <w:lang w:eastAsia="en-US"/>
    </w:rPr>
  </w:style>
  <w:style w:type="paragraph" w:styleId="1070" w:customStyle="1">
    <w:name w:val="标题 61"/>
    <w:basedOn w:val="746"/>
    <w:next w:val="746"/>
    <w:link w:val="1071"/>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71" w:customStyle="1">
    <w:name w:val="标题 6 Char"/>
    <w:link w:val="1070"/>
    <w:uiPriority w:val="0"/>
    <w:qFormat/>
    <w:rPr>
      <w:rFonts w:ascii="Arial" w:hAnsi="Arial" w:eastAsia="黑体" w:cs="Times New Roman"/>
      <w:b/>
      <w:bCs/>
      <w:sz w:val="24"/>
      <w:szCs w:val="24"/>
      <w:lang w:eastAsia="en-US"/>
    </w:rPr>
  </w:style>
  <w:style w:type="paragraph" w:styleId="1072" w:customStyle="1">
    <w:name w:val="标题 71"/>
    <w:basedOn w:val="746"/>
    <w:next w:val="746"/>
    <w:link w:val="1073"/>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73" w:customStyle="1">
    <w:name w:val="标题 7 Char"/>
    <w:link w:val="1072"/>
    <w:uiPriority w:val="0"/>
    <w:qFormat/>
    <w:rPr>
      <w:rFonts w:ascii="Times New Roman" w:hAnsi="Times New Roman" w:eastAsia="宋体" w:cs="Times New Roman"/>
      <w:b/>
      <w:bCs/>
      <w:sz w:val="24"/>
      <w:szCs w:val="24"/>
      <w:lang w:eastAsia="en-US"/>
    </w:rPr>
  </w:style>
  <w:style w:type="paragraph" w:styleId="1074" w:customStyle="1">
    <w:name w:val="标题 81"/>
    <w:basedOn w:val="746"/>
    <w:next w:val="746"/>
    <w:link w:val="1075"/>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75" w:customStyle="1">
    <w:name w:val="标题 8 Char"/>
    <w:link w:val="1074"/>
    <w:uiPriority w:val="0"/>
    <w:qFormat/>
    <w:rPr>
      <w:rFonts w:ascii="Arial" w:hAnsi="Arial" w:eastAsia="黑体" w:cs="Times New Roman"/>
      <w:sz w:val="24"/>
      <w:szCs w:val="24"/>
      <w:lang w:eastAsia="en-US"/>
    </w:rPr>
  </w:style>
  <w:style w:type="paragraph" w:styleId="1076" w:customStyle="1">
    <w:name w:val="标题 91"/>
    <w:basedOn w:val="746"/>
    <w:next w:val="746"/>
    <w:link w:val="1077"/>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77" w:customStyle="1">
    <w:name w:val="标题 9 Char"/>
    <w:link w:val="1076"/>
    <w:uiPriority w:val="0"/>
    <w:qFormat/>
    <w:rPr>
      <w:rFonts w:ascii="Arial" w:hAnsi="Arial" w:eastAsia="黑体" w:cs="Times New Roman"/>
      <w:szCs w:val="21"/>
      <w:lang w:eastAsia="en-US"/>
    </w:rPr>
  </w:style>
  <w:style w:type="character" w:styleId="1078" w:customStyle="1">
    <w:name w:val="默认段落字体1"/>
    <w:uiPriority w:val="1"/>
    <w:unhideWhenUsed/>
    <w:qFormat/>
  </w:style>
  <w:style w:type="table" w:styleId="1079" w:customStyle="1">
    <w:name w:val="普通表格1"/>
    <w:uiPriority w:val="99"/>
    <w:unhideWhenUsed/>
    <w:qFormat/>
    <w:rPr>
      <w:rFonts w:ascii="Calibri" w:hAnsi="Calibri" w:eastAsia="宋体" w:cs="Times New Roman"/>
    </w:rPr>
    <w:tblPr>
      <w:tblCellMar>
        <w:left w:w="0" w:type="dxa"/>
        <w:top w:w="0" w:type="dxa"/>
        <w:right w:w="0" w:type="dxa"/>
        <w:bottom w:w="0" w:type="dxa"/>
      </w:tblCellMar>
    </w:tblPr>
  </w:style>
  <w:style w:type="paragraph" w:styleId="1080" w:customStyle="1">
    <w:name w:val="列表 31"/>
    <w:basedOn w:val="746"/>
    <w:uiPriority w:val="0"/>
    <w:qFormat/>
    <w:pPr>
      <w:ind w:left="100" w:hanging="200"/>
    </w:pPr>
    <w:rPr>
      <w:rFonts w:ascii="Times New Roman" w:hAnsi="Times New Roman" w:eastAsia="宋体" w:cs="Times New Roman"/>
      <w:szCs w:val="21"/>
    </w:rPr>
  </w:style>
  <w:style w:type="paragraph" w:styleId="1081" w:customStyle="1">
    <w:name w:val="目录 711"/>
    <w:basedOn w:val="746"/>
    <w:next w:val="746"/>
    <w:uiPriority w:val="0"/>
    <w:semiHidden/>
    <w:qFormat/>
    <w:pPr>
      <w:ind w:left="1260"/>
      <w:jc w:val="left"/>
    </w:pPr>
    <w:rPr>
      <w:rFonts w:ascii="Times New Roman" w:hAnsi="Times New Roman" w:eastAsia="宋体" w:cs="Times New Roman"/>
      <w:szCs w:val="21"/>
    </w:rPr>
  </w:style>
  <w:style w:type="paragraph" w:styleId="1082" w:customStyle="1">
    <w:name w:val="文档结构图1"/>
    <w:basedOn w:val="746"/>
    <w:link w:val="1083"/>
    <w:uiPriority w:val="0"/>
    <w:semiHidden/>
    <w:qFormat/>
    <w:pPr>
      <w:shd w:val="clear" w:color="auto" w:fill="000080"/>
    </w:pPr>
    <w:rPr>
      <w:rFonts w:ascii="Times New Roman" w:hAnsi="Times New Roman" w:eastAsia="宋体" w:cs="Times New Roman"/>
      <w:sz w:val="20"/>
      <w:szCs w:val="21"/>
      <w:lang w:eastAsia="en-US"/>
    </w:rPr>
  </w:style>
  <w:style w:type="character" w:styleId="1083" w:customStyle="1">
    <w:name w:val="文档结构图 Char"/>
    <w:link w:val="1082"/>
    <w:uiPriority w:val="0"/>
    <w:semiHidden/>
    <w:qFormat/>
    <w:rPr>
      <w:rFonts w:ascii="Times New Roman" w:hAnsi="Times New Roman" w:eastAsia="宋体" w:cs="Times New Roman"/>
      <w:szCs w:val="21"/>
      <w:shd w:val="clear" w:color="auto" w:fill="000080"/>
      <w:lang w:eastAsia="en-US"/>
    </w:rPr>
  </w:style>
  <w:style w:type="paragraph" w:styleId="1084" w:customStyle="1">
    <w:name w:val="批注文字1"/>
    <w:basedOn w:val="746"/>
    <w:link w:val="1085"/>
    <w:uiPriority w:val="0"/>
    <w:semiHidden/>
    <w:qFormat/>
    <w:pPr>
      <w:jc w:val="left"/>
    </w:pPr>
    <w:rPr>
      <w:rFonts w:ascii="Times New Roman" w:hAnsi="Times New Roman" w:eastAsia="宋体" w:cs="Times New Roman"/>
      <w:sz w:val="20"/>
      <w:szCs w:val="21"/>
      <w:lang w:eastAsia="en-US"/>
    </w:rPr>
  </w:style>
  <w:style w:type="character" w:styleId="1085" w:customStyle="1">
    <w:name w:val="批注文字 Char"/>
    <w:link w:val="1084"/>
    <w:uiPriority w:val="0"/>
    <w:semiHidden/>
    <w:qFormat/>
    <w:rPr>
      <w:rFonts w:ascii="Times New Roman" w:hAnsi="Times New Roman" w:eastAsia="宋体" w:cs="Times New Roman"/>
      <w:szCs w:val="21"/>
      <w:lang w:eastAsia="en-US"/>
    </w:rPr>
  </w:style>
  <w:style w:type="paragraph" w:styleId="1086" w:customStyle="1">
    <w:name w:val="正文文本 31"/>
    <w:basedOn w:val="746"/>
    <w:link w:val="1087"/>
    <w:uiPriority w:val="0"/>
    <w:qFormat/>
    <w:rPr>
      <w:rFonts w:ascii="仿宋_GB2312" w:hAnsi="Arial" w:eastAsia="仿宋_GB2312" w:cs="Times New Roman"/>
      <w:sz w:val="32"/>
      <w:szCs w:val="32"/>
      <w:lang w:eastAsia="en-US"/>
    </w:rPr>
  </w:style>
  <w:style w:type="character" w:styleId="1087" w:customStyle="1">
    <w:name w:val="正文文本 3 Char"/>
    <w:link w:val="1086"/>
    <w:uiPriority w:val="0"/>
    <w:qFormat/>
    <w:rPr>
      <w:rFonts w:ascii="仿宋_GB2312" w:hAnsi="Arial" w:eastAsia="仿宋_GB2312" w:cs="Times New Roman"/>
      <w:sz w:val="32"/>
      <w:szCs w:val="32"/>
      <w:lang w:eastAsia="en-US"/>
    </w:rPr>
  </w:style>
  <w:style w:type="paragraph" w:styleId="1088" w:customStyle="1">
    <w:name w:val="正文文本1"/>
    <w:basedOn w:val="746"/>
    <w:link w:val="1089"/>
    <w:uiPriority w:val="0"/>
    <w:qFormat/>
    <w:rPr>
      <w:rFonts w:ascii="楷体_GB2312" w:hAnsi="Arial" w:eastAsia="楷体_GB2312" w:cs="Times New Roman"/>
      <w:sz w:val="28"/>
      <w:szCs w:val="28"/>
      <w:lang w:eastAsia="en-US"/>
    </w:rPr>
  </w:style>
  <w:style w:type="character" w:styleId="1089" w:customStyle="1">
    <w:name w:val="正文文本 Char"/>
    <w:link w:val="1088"/>
    <w:uiPriority w:val="0"/>
    <w:qFormat/>
    <w:rPr>
      <w:rFonts w:ascii="楷体_GB2312" w:hAnsi="Arial" w:eastAsia="楷体_GB2312" w:cs="Times New Roman"/>
      <w:sz w:val="28"/>
      <w:szCs w:val="28"/>
      <w:lang w:eastAsia="en-US"/>
    </w:rPr>
  </w:style>
  <w:style w:type="paragraph" w:styleId="1090" w:customStyle="1">
    <w:name w:val="正文文本缩进1"/>
    <w:basedOn w:val="746"/>
    <w:link w:val="1091"/>
    <w:uiPriority w:val="0"/>
    <w:qFormat/>
    <w:pPr>
      <w:ind w:firstLine="645"/>
    </w:pPr>
    <w:rPr>
      <w:rFonts w:ascii="楷体_GB2312" w:hAnsi="Times New Roman" w:eastAsia="楷体_GB2312" w:cs="Times New Roman"/>
      <w:sz w:val="32"/>
      <w:szCs w:val="32"/>
      <w:lang w:eastAsia="en-US"/>
    </w:rPr>
  </w:style>
  <w:style w:type="character" w:styleId="1091" w:customStyle="1">
    <w:name w:val="正文文本缩进 Char"/>
    <w:link w:val="1090"/>
    <w:uiPriority w:val="0"/>
    <w:qFormat/>
    <w:rPr>
      <w:rFonts w:ascii="楷体_GB2312" w:hAnsi="Times New Roman" w:eastAsia="楷体_GB2312" w:cs="Times New Roman"/>
      <w:sz w:val="32"/>
      <w:szCs w:val="32"/>
      <w:lang w:eastAsia="en-US"/>
    </w:rPr>
  </w:style>
  <w:style w:type="paragraph" w:styleId="1092" w:customStyle="1">
    <w:name w:val="列表 21"/>
    <w:basedOn w:val="746"/>
    <w:uiPriority w:val="0"/>
    <w:qFormat/>
    <w:pPr>
      <w:ind w:left="100" w:hanging="200"/>
    </w:pPr>
    <w:rPr>
      <w:rFonts w:ascii="Times New Roman" w:hAnsi="Times New Roman" w:eastAsia="宋体" w:cs="Times New Roman"/>
      <w:szCs w:val="21"/>
    </w:rPr>
  </w:style>
  <w:style w:type="paragraph" w:styleId="1093" w:customStyle="1">
    <w:name w:val="目录 511"/>
    <w:basedOn w:val="746"/>
    <w:next w:val="746"/>
    <w:uiPriority w:val="0"/>
    <w:semiHidden/>
    <w:qFormat/>
    <w:pPr>
      <w:ind w:left="840"/>
      <w:jc w:val="left"/>
    </w:pPr>
    <w:rPr>
      <w:rFonts w:ascii="Times New Roman" w:hAnsi="Times New Roman" w:eastAsia="宋体" w:cs="Times New Roman"/>
      <w:szCs w:val="21"/>
    </w:rPr>
  </w:style>
  <w:style w:type="paragraph" w:styleId="1094" w:customStyle="1">
    <w:name w:val="目录 311"/>
    <w:basedOn w:val="746"/>
    <w:next w:val="746"/>
    <w:uiPriority w:val="0"/>
    <w:semiHidden/>
    <w:qFormat/>
    <w:pPr>
      <w:ind w:left="420"/>
      <w:jc w:val="left"/>
    </w:pPr>
    <w:rPr>
      <w:rFonts w:ascii="Times New Roman" w:hAnsi="Times New Roman" w:eastAsia="宋体" w:cs="Times New Roman"/>
      <w:i/>
      <w:iCs/>
      <w:szCs w:val="24"/>
    </w:rPr>
  </w:style>
  <w:style w:type="paragraph" w:styleId="1095" w:customStyle="1">
    <w:name w:val="纯文本1"/>
    <w:basedOn w:val="746"/>
    <w:link w:val="1096"/>
    <w:uiPriority w:val="0"/>
    <w:qFormat/>
    <w:rPr>
      <w:rFonts w:ascii="宋体" w:hAnsi="Courier New" w:eastAsia="宋体" w:cs="Times New Roman"/>
      <w:sz w:val="20"/>
      <w:szCs w:val="21"/>
      <w:lang w:eastAsia="en-US"/>
    </w:rPr>
  </w:style>
  <w:style w:type="character" w:styleId="1096" w:customStyle="1">
    <w:name w:val="纯文本 Char"/>
    <w:link w:val="1095"/>
    <w:uiPriority w:val="0"/>
    <w:qFormat/>
    <w:rPr>
      <w:rFonts w:ascii="宋体" w:hAnsi="Courier New" w:eastAsia="宋体" w:cs="Times New Roman"/>
      <w:szCs w:val="21"/>
      <w:lang w:eastAsia="en-US"/>
    </w:rPr>
  </w:style>
  <w:style w:type="paragraph" w:styleId="1097" w:customStyle="1">
    <w:name w:val="目录 811"/>
    <w:basedOn w:val="746"/>
    <w:next w:val="746"/>
    <w:uiPriority w:val="0"/>
    <w:semiHidden/>
    <w:qFormat/>
    <w:pPr>
      <w:ind w:left="1470"/>
      <w:jc w:val="left"/>
    </w:pPr>
    <w:rPr>
      <w:rFonts w:ascii="Times New Roman" w:hAnsi="Times New Roman" w:eastAsia="宋体" w:cs="Times New Roman"/>
      <w:szCs w:val="21"/>
    </w:rPr>
  </w:style>
  <w:style w:type="paragraph" w:styleId="1098" w:customStyle="1">
    <w:name w:val="日期1"/>
    <w:basedOn w:val="746"/>
    <w:next w:val="746"/>
    <w:link w:val="1099"/>
    <w:uiPriority w:val="0"/>
    <w:qFormat/>
    <w:rPr>
      <w:rFonts w:ascii="Times New Roman" w:hAnsi="Times New Roman" w:eastAsia="宋体" w:cs="Times New Roman"/>
      <w:sz w:val="24"/>
      <w:szCs w:val="24"/>
      <w:lang w:eastAsia="en-US"/>
    </w:rPr>
  </w:style>
  <w:style w:type="character" w:styleId="1099" w:customStyle="1">
    <w:name w:val="日期 Char"/>
    <w:link w:val="1098"/>
    <w:uiPriority w:val="0"/>
    <w:qFormat/>
    <w:rPr>
      <w:rFonts w:ascii="Times New Roman" w:hAnsi="Times New Roman" w:eastAsia="宋体" w:cs="Times New Roman"/>
      <w:sz w:val="24"/>
      <w:szCs w:val="24"/>
      <w:lang w:eastAsia="en-US"/>
    </w:rPr>
  </w:style>
  <w:style w:type="paragraph" w:styleId="1100" w:customStyle="1">
    <w:name w:val="正文文本缩进 21"/>
    <w:basedOn w:val="746"/>
    <w:link w:val="1101"/>
    <w:uiPriority w:val="0"/>
    <w:qFormat/>
    <w:pPr>
      <w:ind w:left="630" w:firstLine="645"/>
    </w:pPr>
    <w:rPr>
      <w:rFonts w:ascii="Arial" w:hAnsi="Arial" w:eastAsia="仿宋_GB2312" w:cs="Times New Roman"/>
      <w:sz w:val="32"/>
      <w:szCs w:val="32"/>
      <w:lang w:eastAsia="en-US"/>
    </w:rPr>
  </w:style>
  <w:style w:type="character" w:styleId="1101" w:customStyle="1">
    <w:name w:val="正文文本缩进 2 Char"/>
    <w:link w:val="1100"/>
    <w:uiPriority w:val="0"/>
    <w:qFormat/>
    <w:rPr>
      <w:rFonts w:ascii="Arial" w:hAnsi="Arial" w:eastAsia="仿宋_GB2312" w:cs="Times New Roman"/>
      <w:sz w:val="32"/>
      <w:szCs w:val="32"/>
      <w:lang w:eastAsia="en-US"/>
    </w:rPr>
  </w:style>
  <w:style w:type="paragraph" w:styleId="1102" w:customStyle="1">
    <w:name w:val="批注框文本1"/>
    <w:basedOn w:val="746"/>
    <w:link w:val="1103"/>
    <w:uiPriority w:val="0"/>
    <w:semiHidden/>
    <w:qFormat/>
    <w:rPr>
      <w:rFonts w:ascii="Times New Roman" w:hAnsi="Times New Roman" w:eastAsia="宋体" w:cs="Times New Roman"/>
      <w:sz w:val="18"/>
      <w:szCs w:val="18"/>
      <w:lang w:eastAsia="en-US"/>
    </w:rPr>
  </w:style>
  <w:style w:type="character" w:styleId="1103" w:customStyle="1">
    <w:name w:val="批注框文本 Char"/>
    <w:link w:val="1102"/>
    <w:uiPriority w:val="0"/>
    <w:semiHidden/>
    <w:qFormat/>
    <w:rPr>
      <w:rFonts w:ascii="Times New Roman" w:hAnsi="Times New Roman" w:eastAsia="宋体" w:cs="Times New Roman"/>
      <w:sz w:val="18"/>
      <w:szCs w:val="18"/>
      <w:lang w:eastAsia="en-US"/>
    </w:rPr>
  </w:style>
  <w:style w:type="paragraph" w:styleId="1104" w:customStyle="1">
    <w:name w:val="页脚1"/>
    <w:basedOn w:val="746"/>
    <w:link w:val="1105"/>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05" w:customStyle="1">
    <w:name w:val="页脚 Char"/>
    <w:link w:val="1104"/>
    <w:uiPriority w:val="0"/>
    <w:qFormat/>
    <w:rPr>
      <w:rFonts w:ascii="Times New Roman" w:hAnsi="Times New Roman" w:eastAsia="宋体" w:cs="Times New Roman"/>
      <w:sz w:val="18"/>
      <w:szCs w:val="18"/>
      <w:lang w:eastAsia="en-US"/>
    </w:rPr>
  </w:style>
  <w:style w:type="paragraph" w:styleId="1106" w:customStyle="1">
    <w:name w:val="页眉1"/>
    <w:basedOn w:val="746"/>
    <w:link w:val="1107"/>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07" w:customStyle="1">
    <w:name w:val="页眉 Char"/>
    <w:link w:val="1106"/>
    <w:uiPriority w:val="99"/>
    <w:qFormat/>
    <w:rPr>
      <w:rFonts w:ascii="Times New Roman" w:hAnsi="Times New Roman" w:eastAsia="宋体" w:cs="Times New Roman"/>
      <w:sz w:val="18"/>
      <w:szCs w:val="18"/>
      <w:lang w:eastAsia="en-US"/>
    </w:rPr>
  </w:style>
  <w:style w:type="paragraph" w:styleId="1108" w:customStyle="1">
    <w:name w:val="目录 1111"/>
    <w:basedOn w:val="746"/>
    <w:next w:val="74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9" w:customStyle="1">
    <w:name w:val="目录 411"/>
    <w:basedOn w:val="746"/>
    <w:next w:val="746"/>
    <w:uiPriority w:val="0"/>
    <w:semiHidden/>
    <w:qFormat/>
    <w:pPr>
      <w:ind w:left="630"/>
      <w:jc w:val="left"/>
    </w:pPr>
    <w:rPr>
      <w:rFonts w:ascii="Times New Roman" w:hAnsi="Times New Roman" w:eastAsia="宋体" w:cs="Times New Roman"/>
      <w:szCs w:val="21"/>
    </w:rPr>
  </w:style>
  <w:style w:type="paragraph" w:styleId="1110" w:customStyle="1">
    <w:name w:val="列表1"/>
    <w:basedOn w:val="746"/>
    <w:uiPriority w:val="0"/>
    <w:qFormat/>
    <w:pPr>
      <w:ind w:left="200" w:hanging="200"/>
    </w:pPr>
    <w:rPr>
      <w:rFonts w:ascii="Times New Roman" w:hAnsi="Times New Roman" w:eastAsia="宋体" w:cs="Times New Roman"/>
      <w:szCs w:val="21"/>
    </w:rPr>
  </w:style>
  <w:style w:type="paragraph" w:styleId="1111" w:customStyle="1">
    <w:name w:val="目录 611"/>
    <w:basedOn w:val="746"/>
    <w:next w:val="746"/>
    <w:uiPriority w:val="0"/>
    <w:semiHidden/>
    <w:qFormat/>
    <w:pPr>
      <w:ind w:left="1050"/>
      <w:jc w:val="left"/>
    </w:pPr>
    <w:rPr>
      <w:rFonts w:ascii="Times New Roman" w:hAnsi="Times New Roman" w:eastAsia="宋体" w:cs="Times New Roman"/>
      <w:szCs w:val="21"/>
    </w:rPr>
  </w:style>
  <w:style w:type="paragraph" w:styleId="1112" w:customStyle="1">
    <w:name w:val="正文文本缩进 31"/>
    <w:basedOn w:val="746"/>
    <w:link w:val="1113"/>
    <w:uiPriority w:val="0"/>
    <w:qFormat/>
    <w:pPr>
      <w:ind w:left="645" w:firstLine="645"/>
    </w:pPr>
    <w:rPr>
      <w:rFonts w:ascii="Arial" w:hAnsi="Arial" w:eastAsia="仿宋_GB2312" w:cs="Times New Roman"/>
      <w:color w:val="ffff00"/>
      <w:sz w:val="32"/>
      <w:szCs w:val="32"/>
      <w:lang w:eastAsia="en-US"/>
    </w:rPr>
  </w:style>
  <w:style w:type="character" w:styleId="1113" w:customStyle="1">
    <w:name w:val="正文文本缩进 3 Char"/>
    <w:link w:val="1112"/>
    <w:uiPriority w:val="0"/>
    <w:qFormat/>
    <w:rPr>
      <w:rFonts w:ascii="Arial" w:hAnsi="Arial" w:eastAsia="仿宋_GB2312" w:cs="Times New Roman"/>
      <w:color w:val="ffff00"/>
      <w:sz w:val="32"/>
      <w:szCs w:val="32"/>
      <w:lang w:eastAsia="en-US"/>
    </w:rPr>
  </w:style>
  <w:style w:type="paragraph" w:styleId="1114" w:customStyle="1">
    <w:name w:val="图表目录1"/>
    <w:basedOn w:val="746"/>
    <w:next w:val="746"/>
    <w:uiPriority w:val="0"/>
    <w:semiHidden/>
    <w:qFormat/>
    <w:pPr>
      <w:ind w:left="840" w:hanging="420"/>
    </w:pPr>
    <w:rPr>
      <w:rFonts w:ascii="Times New Roman" w:hAnsi="Times New Roman" w:eastAsia="宋体" w:cs="Times New Roman"/>
      <w:szCs w:val="21"/>
    </w:rPr>
  </w:style>
  <w:style w:type="paragraph" w:styleId="1115" w:customStyle="1">
    <w:name w:val="目录 211"/>
    <w:basedOn w:val="746"/>
    <w:next w:val="746"/>
    <w:uiPriority w:val="0"/>
    <w:semiHidden/>
    <w:qFormat/>
    <w:pPr>
      <w:ind w:left="210"/>
      <w:jc w:val="left"/>
    </w:pPr>
    <w:rPr>
      <w:rFonts w:ascii="Times New Roman" w:hAnsi="Times New Roman" w:eastAsia="宋体" w:cs="Times New Roman"/>
      <w:smallCaps/>
      <w:szCs w:val="24"/>
    </w:rPr>
  </w:style>
  <w:style w:type="paragraph" w:styleId="1116" w:customStyle="1">
    <w:name w:val="目录 911"/>
    <w:basedOn w:val="746"/>
    <w:next w:val="746"/>
    <w:uiPriority w:val="0"/>
    <w:semiHidden/>
    <w:qFormat/>
    <w:pPr>
      <w:ind w:left="1680"/>
      <w:jc w:val="left"/>
    </w:pPr>
    <w:rPr>
      <w:rFonts w:ascii="Times New Roman" w:hAnsi="Times New Roman" w:eastAsia="宋体" w:cs="Times New Roman"/>
      <w:szCs w:val="21"/>
    </w:rPr>
  </w:style>
  <w:style w:type="paragraph" w:styleId="1117" w:customStyle="1">
    <w:name w:val="正文文本 21"/>
    <w:basedOn w:val="746"/>
    <w:link w:val="1118"/>
    <w:uiPriority w:val="0"/>
    <w:qFormat/>
    <w:pPr>
      <w:jc w:val="center"/>
      <w:widowControl/>
    </w:pPr>
    <w:rPr>
      <w:rFonts w:ascii="楷体_GB2312" w:hAnsi="Times New Roman" w:eastAsia="楷体_GB2312" w:cs="Times New Roman"/>
      <w:sz w:val="28"/>
      <w:szCs w:val="28"/>
      <w:lang w:eastAsia="en-US"/>
    </w:rPr>
  </w:style>
  <w:style w:type="character" w:styleId="1118" w:customStyle="1">
    <w:name w:val="正文文本 2 Char"/>
    <w:link w:val="1117"/>
    <w:uiPriority w:val="0"/>
    <w:qFormat/>
    <w:rPr>
      <w:rFonts w:ascii="楷体_GB2312" w:hAnsi="Times New Roman" w:eastAsia="楷体_GB2312" w:cs="Times New Roman"/>
      <w:sz w:val="28"/>
      <w:szCs w:val="28"/>
      <w:lang w:eastAsia="en-US"/>
    </w:rPr>
  </w:style>
  <w:style w:type="paragraph" w:styleId="1119" w:customStyle="1">
    <w:name w:val="普通(网站)1"/>
    <w:basedOn w:val="746"/>
    <w:uiPriority w:val="99"/>
    <w:qFormat/>
    <w:pPr>
      <w:jc w:val="left"/>
      <w:spacing w:before="100" w:beforeAutospacing="1" w:after="100" w:afterAutospacing="1"/>
      <w:widowControl/>
    </w:pPr>
    <w:rPr>
      <w:rFonts w:ascii="宋体" w:hAnsi="宋体" w:eastAsia="宋体" w:cs="宋体"/>
      <w:sz w:val="24"/>
      <w:szCs w:val="24"/>
    </w:rPr>
  </w:style>
  <w:style w:type="paragraph" w:styleId="1120" w:customStyle="1">
    <w:name w:val="索引 11"/>
    <w:basedOn w:val="746"/>
    <w:next w:val="746"/>
    <w:uiPriority w:val="0"/>
    <w:semiHidden/>
    <w:qFormat/>
    <w:pPr>
      <w:spacing w:line="240" w:lineRule="atLeast"/>
    </w:pPr>
    <w:rPr>
      <w:rFonts w:ascii="Times New Roman" w:hAnsi="Times New Roman" w:eastAsia="宋体" w:cs="Times New Roman"/>
      <w:b/>
      <w:bCs/>
      <w:szCs w:val="21"/>
    </w:rPr>
  </w:style>
  <w:style w:type="paragraph" w:styleId="1121" w:customStyle="1">
    <w:name w:val="批注主题1"/>
    <w:basedOn w:val="1084"/>
    <w:next w:val="1084"/>
    <w:link w:val="1122"/>
    <w:uiPriority w:val="0"/>
    <w:semiHidden/>
    <w:qFormat/>
    <w:rPr>
      <w:b/>
      <w:bCs/>
    </w:rPr>
  </w:style>
  <w:style w:type="character" w:styleId="1122" w:customStyle="1">
    <w:name w:val="批注主题 Char"/>
    <w:link w:val="1121"/>
    <w:uiPriority w:val="0"/>
    <w:semiHidden/>
    <w:qFormat/>
    <w:rPr>
      <w:rFonts w:ascii="Times New Roman" w:hAnsi="Times New Roman" w:eastAsia="宋体" w:cs="Times New Roman"/>
      <w:b/>
      <w:bCs/>
      <w:szCs w:val="21"/>
      <w:lang w:eastAsia="en-US"/>
    </w:rPr>
  </w:style>
  <w:style w:type="paragraph" w:styleId="1123" w:customStyle="1">
    <w:name w:val="正文首行缩进1"/>
    <w:basedOn w:val="746"/>
    <w:link w:val="1124"/>
    <w:uiPriority w:val="0"/>
    <w:qFormat/>
    <w:pPr>
      <w:ind w:firstLine="200"/>
      <w:spacing w:line="360" w:lineRule="auto"/>
    </w:pPr>
    <w:rPr>
      <w:rFonts w:ascii="仿宋_GB2312" w:hAnsi="Times New Roman" w:eastAsia="仿宋_GB2312" w:cs="Times New Roman"/>
      <w:sz w:val="30"/>
      <w:szCs w:val="30"/>
      <w:lang w:eastAsia="en-US"/>
    </w:rPr>
  </w:style>
  <w:style w:type="character" w:styleId="1124" w:customStyle="1">
    <w:name w:val="正文首行缩进 Char"/>
    <w:link w:val="1123"/>
    <w:uiPriority w:val="0"/>
    <w:qFormat/>
    <w:rPr>
      <w:rFonts w:ascii="仿宋_GB2312" w:hAnsi="Times New Roman" w:eastAsia="仿宋_GB2312" w:cs="Times New Roman"/>
      <w:sz w:val="30"/>
      <w:szCs w:val="30"/>
      <w:lang w:eastAsia="en-US"/>
    </w:rPr>
  </w:style>
  <w:style w:type="paragraph" w:styleId="1125" w:customStyle="1">
    <w:name w:val="正文首行缩进 21"/>
    <w:basedOn w:val="1090"/>
    <w:link w:val="1126"/>
    <w:uiPriority w:val="0"/>
    <w:qFormat/>
    <w:pPr>
      <w:ind w:firstLine="420"/>
      <w:spacing w:line="360" w:lineRule="auto"/>
    </w:pPr>
    <w:rPr>
      <w:rFonts w:ascii="宋体" w:hAnsi="宋体" w:eastAsia="宋体"/>
      <w:szCs w:val="20"/>
    </w:rPr>
  </w:style>
  <w:style w:type="character" w:styleId="1126" w:customStyle="1">
    <w:name w:val="正文首行缩进 2 Char"/>
    <w:link w:val="1125"/>
    <w:uiPriority w:val="0"/>
    <w:qFormat/>
    <w:rPr>
      <w:rFonts w:ascii="宋体" w:hAnsi="宋体" w:eastAsia="宋体" w:cs="Times New Roman"/>
      <w:sz w:val="32"/>
      <w:lang w:eastAsia="en-US"/>
    </w:rPr>
  </w:style>
  <w:style w:type="character" w:styleId="1127" w:customStyle="1">
    <w:name w:val="要点1"/>
    <w:uiPriority w:val="0"/>
    <w:qFormat/>
    <w:rPr>
      <w:b/>
      <w:bCs/>
    </w:rPr>
  </w:style>
  <w:style w:type="character" w:styleId="1128" w:customStyle="1">
    <w:name w:val="页码1"/>
    <w:uiPriority w:val="0"/>
    <w:qFormat/>
  </w:style>
  <w:style w:type="character" w:styleId="1129" w:customStyle="1">
    <w:name w:val="已访问的超链接1"/>
    <w:uiPriority w:val="0"/>
    <w:qFormat/>
    <w:rPr>
      <w:color w:val="800080"/>
      <w:u w:val="single"/>
    </w:rPr>
  </w:style>
  <w:style w:type="character" w:styleId="1130" w:customStyle="1">
    <w:name w:val="HTML 打字机1"/>
    <w:uiPriority w:val="99"/>
    <w:qFormat/>
    <w:rPr>
      <w:rFonts w:ascii="宋体" w:hAnsi="宋体" w:eastAsia="宋体" w:cs="宋体"/>
      <w:sz w:val="24"/>
      <w:szCs w:val="24"/>
    </w:rPr>
  </w:style>
  <w:style w:type="character" w:styleId="1131" w:customStyle="1">
    <w:name w:val="超链接1"/>
    <w:uiPriority w:val="0"/>
    <w:qFormat/>
    <w:rPr>
      <w:color w:val="0000ff"/>
      <w:u w:val="single"/>
    </w:rPr>
  </w:style>
  <w:style w:type="character" w:styleId="1132" w:customStyle="1">
    <w:name w:val="批注引用1"/>
    <w:uiPriority w:val="0"/>
    <w:semiHidden/>
    <w:qFormat/>
    <w:rPr>
      <w:sz w:val="21"/>
      <w:szCs w:val="21"/>
    </w:rPr>
  </w:style>
  <w:style w:type="character" w:styleId="1133" w:customStyle="1">
    <w:name w:val="二级目录 Char"/>
    <w:link w:val="1134"/>
    <w:uiPriority w:val="0"/>
    <w:qFormat/>
    <w:rPr>
      <w:b/>
      <w:sz w:val="30"/>
      <w:szCs w:val="28"/>
    </w:rPr>
  </w:style>
  <w:style w:type="paragraph" w:styleId="1134" w:customStyle="1">
    <w:name w:val="二级目录"/>
    <w:next w:val="746"/>
    <w:link w:val="1133"/>
    <w:uiPriority w:val="0"/>
    <w:qFormat/>
    <w:pPr>
      <w:numPr>
        <w:ilvl w:val="0"/>
        <w:numId w:val="4"/>
      </w:numPr>
      <w:tabs>
        <w:tab w:val="left" w:pos="1145" w:leader="none"/>
      </w:tabs>
      <w:outlineLvl w:val="1"/>
    </w:pPr>
    <w:rPr>
      <w:rFonts w:hint="default" w:asciiTheme="minorHAnsi" w:hAnsiTheme="minorHAnsi" w:eastAsiaTheme="minorEastAsia" w:cstheme="minorBidi"/>
      <w:b/>
      <w:sz w:val="30"/>
      <w:szCs w:val="28"/>
    </w:rPr>
  </w:style>
  <w:style w:type="character" w:styleId="1135" w:customStyle="1">
    <w:name w:val="列出段落 Char"/>
    <w:link w:val="760"/>
    <w:uiPriority w:val="0"/>
    <w:qFormat/>
    <w:rPr>
      <w:rFonts w:ascii="Calibri" w:hAnsi="Calibri" w:eastAsia="宋体" w:cs="Times New Roman"/>
      <w:sz w:val="24"/>
      <w:szCs w:val="22"/>
    </w:rPr>
  </w:style>
  <w:style w:type="paragraph" w:styleId="1136" w:customStyle="1">
    <w:name w:val="Body Text(ch)"/>
    <w:basedOn w:val="746"/>
    <w:next w:val="1088"/>
    <w:uiPriority w:val="0"/>
    <w:qFormat/>
    <w:pPr>
      <w:spacing w:after="120"/>
    </w:pPr>
    <w:rPr>
      <w:rFonts w:ascii="宋体" w:hAnsi="Arial" w:eastAsia="宋体" w:cs="Times New Roman"/>
      <w:bCs/>
      <w:iCs/>
      <w:szCs w:val="24"/>
    </w:rPr>
  </w:style>
  <w:style w:type="paragraph" w:styleId="1137" w:customStyle="1">
    <w:name w:val="Char"/>
    <w:basedOn w:val="746"/>
    <w:uiPriority w:val="0"/>
    <w:qFormat/>
    <w:pPr>
      <w:ind w:firstLine="200"/>
      <w:tabs>
        <w:tab w:val="left" w:pos="360" w:leader="none"/>
      </w:tabs>
    </w:pPr>
    <w:rPr>
      <w:rFonts w:ascii="Times New Roman" w:hAnsi="Times New Roman" w:eastAsia="宋体" w:cs="Times New Roman"/>
      <w:sz w:val="28"/>
      <w:szCs w:val="30"/>
    </w:rPr>
  </w:style>
  <w:style w:type="paragraph" w:styleId="1138" w:customStyle="1">
    <w:name w:val="普通正文"/>
    <w:basedOn w:val="746"/>
    <w:uiPriority w:val="0"/>
    <w:qFormat/>
    <w:pPr>
      <w:ind w:firstLine="480"/>
      <w:jc w:val="left"/>
      <w:spacing w:before="120" w:after="120" w:line="360" w:lineRule="auto"/>
    </w:pPr>
    <w:rPr>
      <w:rFonts w:ascii="Arial" w:hAnsi="Arial" w:eastAsia="宋体" w:cs="Times New Roman"/>
      <w:sz w:val="24"/>
      <w:szCs w:val="24"/>
    </w:rPr>
  </w:style>
  <w:style w:type="paragraph" w:styleId="1139" w:customStyle="1">
    <w:name w:val="table_lines"/>
    <w:basedOn w:val="746"/>
    <w:uiPriority w:val="0"/>
    <w:qFormat/>
    <w:pPr>
      <w:jc w:val="left"/>
      <w:widowControl/>
    </w:pPr>
    <w:rPr>
      <w:rFonts w:ascii="Times New Roman" w:hAnsi="Times New Roman" w:eastAsia="宋体" w:cs="Times New Roman"/>
      <w:sz w:val="20"/>
      <w:szCs w:val="20"/>
      <w:lang w:val="de-DE" w:eastAsia="de-DE"/>
    </w:rPr>
  </w:style>
  <w:style w:type="paragraph" w:styleId="114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41" w:customStyle="1">
    <w:name w:val="列出段落21"/>
    <w:basedOn w:val="746"/>
    <w:uiPriority w:val="99"/>
    <w:qFormat/>
    <w:pPr>
      <w:contextualSpacing/>
      <w:ind w:left="720"/>
      <w:jc w:val="left"/>
      <w:widowControl/>
    </w:pPr>
    <w:rPr>
      <w:rFonts w:ascii="Calibri" w:hAnsi="Calibri" w:eastAsia="宋体" w:cs="Times New Roman"/>
      <w:sz w:val="24"/>
      <w:szCs w:val="24"/>
      <w:lang w:eastAsia="en-US" w:bidi="en-US"/>
    </w:rPr>
  </w:style>
  <w:style w:type="paragraph" w:styleId="1142" w:customStyle="1">
    <w:name w:val="4"/>
    <w:basedOn w:val="746"/>
    <w:next w:val="1112"/>
    <w:uiPriority w:val="0"/>
    <w:qFormat/>
    <w:pPr>
      <w:ind w:firstLine="420"/>
      <w:spacing w:line="360" w:lineRule="auto"/>
    </w:pPr>
    <w:rPr>
      <w:rFonts w:ascii="Times New Roman" w:hAnsi="Times New Roman" w:eastAsia="宋体" w:cs="Times New Roman"/>
      <w:color w:val="ff0000"/>
      <w:sz w:val="24"/>
      <w:szCs w:val="24"/>
    </w:rPr>
  </w:style>
  <w:style w:type="paragraph" w:styleId="1143" w:customStyle="1">
    <w:name w:val="普通 (Web)"/>
    <w:basedOn w:val="746"/>
    <w:uiPriority w:val="0"/>
    <w:qFormat/>
    <w:pPr>
      <w:jc w:val="left"/>
      <w:spacing w:before="100" w:beforeAutospacing="1" w:after="100" w:afterAutospacing="1"/>
      <w:widowControl/>
    </w:pPr>
    <w:rPr>
      <w:rFonts w:ascii="宋体" w:hAnsi="宋体" w:eastAsia="宋体" w:cs="Times New Roman"/>
      <w:sz w:val="24"/>
      <w:szCs w:val="24"/>
    </w:rPr>
  </w:style>
  <w:style w:type="paragraph" w:styleId="1144" w:customStyle="1">
    <w:name w:val="Char Char Char Char Char Char Char Char Char Char"/>
    <w:basedOn w:val="746"/>
    <w:uiPriority w:val="0"/>
    <w:qFormat/>
    <w:pPr>
      <w:spacing w:line="360" w:lineRule="auto"/>
    </w:pPr>
    <w:rPr>
      <w:rFonts w:ascii="Times New Roman" w:hAnsi="Times New Roman" w:eastAsia="宋体" w:cs="Times New Roman"/>
      <w:sz w:val="24"/>
      <w:szCs w:val="20"/>
    </w:rPr>
  </w:style>
  <w:style w:type="paragraph" w:styleId="1145" w:customStyle="1">
    <w:name w:val="样式1"/>
    <w:basedOn w:val="746"/>
    <w:uiPriority w:val="0"/>
    <w:qFormat/>
    <w:pPr>
      <w:numPr>
        <w:ilvl w:val="0"/>
        <w:numId w:val="5"/>
      </w:numPr>
    </w:pPr>
    <w:rPr>
      <w:rFonts w:ascii="宋体" w:hAnsi="宋体" w:eastAsia="宋体" w:cs="Times New Roman"/>
      <w:szCs w:val="21"/>
    </w:rPr>
  </w:style>
  <w:style w:type="paragraph" w:styleId="1146"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7" w:customStyle="1">
    <w:name w:val="标题3"/>
    <w:basedOn w:val="746"/>
    <w:next w:val="746"/>
    <w:uiPriority w:val="0"/>
    <w:qFormat/>
    <w:pPr>
      <w:ind w:firstLine="624"/>
      <w:spacing w:line="590" w:lineRule="atLeast"/>
    </w:pPr>
    <w:rPr>
      <w:rFonts w:ascii="方正黑体_GBK" w:hAnsi="Times New Roman" w:eastAsia="方正黑体_GBK" w:cs="Times New Roman"/>
      <w:sz w:val="32"/>
      <w:szCs w:val="32"/>
    </w:rPr>
  </w:style>
  <w:style w:type="paragraph" w:styleId="1148" w:customStyle="1">
    <w:name w:val="Char Char Char Char Char Char Char Char"/>
    <w:basedOn w:val="746"/>
    <w:uiPriority w:val="0"/>
    <w:qFormat/>
    <w:pPr>
      <w:jc w:val="left"/>
      <w:spacing w:after="160" w:line="240" w:lineRule="exact"/>
      <w:widowControl/>
    </w:pPr>
    <w:rPr>
      <w:rFonts w:ascii="Verdana" w:hAnsi="Verdana" w:eastAsia="宋体" w:cs="Times New Roman"/>
      <w:sz w:val="20"/>
      <w:szCs w:val="20"/>
      <w:lang w:eastAsia="en-US"/>
    </w:rPr>
  </w:style>
  <w:style w:type="paragraph" w:styleId="1149" w:customStyle="1">
    <w:name w:val="table_1stline"/>
    <w:basedOn w:val="746"/>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0" w:customStyle="1">
    <w:name w:val="标题1"/>
    <w:basedOn w:val="746"/>
    <w:next w:val="74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1" w:customStyle="1">
    <w:name w:val="修订2"/>
    <w:uiPriority w:val="99"/>
    <w:semiHidden/>
    <w:qFormat/>
    <w:rPr>
      <w:rFonts w:hint="default" w:ascii="Times New Roman" w:hAnsi="Times New Roman" w:eastAsia="宋体" w:cs="Times New Roman"/>
      <w:sz w:val="21"/>
      <w:szCs w:val="21"/>
    </w:rPr>
  </w:style>
  <w:style w:type="paragraph" w:styleId="1152"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153" w:customStyle="1">
    <w:name w:val="目录 111"/>
    <w:basedOn w:val="746"/>
    <w:next w:val="746"/>
    <w:uiPriority w:val="39"/>
    <w:unhideWhenUsed/>
    <w:qFormat/>
    <w:pPr>
      <w:jc w:val="left"/>
      <w:spacing w:after="100" w:line="259" w:lineRule="auto"/>
      <w:widowControl/>
    </w:pPr>
    <w:rPr>
      <w:rFonts w:ascii="Calibri" w:hAnsi="Calibri" w:eastAsia="宋体" w:cs="Times New Roman"/>
      <w:sz w:val="22"/>
    </w:rPr>
  </w:style>
  <w:style w:type="table" w:styleId="1154" w:customStyle="1">
    <w:name w:val="网格型5"/>
    <w:basedOn w:val="757"/>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5" w:customStyle="1">
    <w:name w:val="a0"/>
    <w:basedOn w:val="746"/>
    <w:uiPriority w:val="0"/>
    <w:qFormat/>
    <w:pPr>
      <w:jc w:val="left"/>
      <w:spacing w:before="100" w:beforeAutospacing="1" w:after="100" w:afterAutospacing="1" w:line="240" w:lineRule="auto"/>
      <w:widowControl/>
    </w:pPr>
    <w:rPr>
      <w:rFonts w:ascii="宋体" w:hAnsi="宋体" w:cs="宋体"/>
    </w:rPr>
  </w:style>
  <w:style w:type="character" w:styleId="1156" w:customStyle="1">
    <w:name w:val="NormalCharacter"/>
    <w:uiPriority w:val="0"/>
    <w:qFormat/>
  </w:style>
  <w:style w:type="paragraph" w:styleId="1157" w:customStyle="1">
    <w:name w:val="_Style 1"/>
    <w:basedOn w:val="746"/>
    <w:uiPriority w:val="34"/>
    <w:qFormat/>
    <w:pPr>
      <w:ind w:firstLine="420"/>
    </w:pPr>
    <w:rPr>
      <w:rFonts w:ascii="Calibri" w:hAnsi="Calibri"/>
      <w:szCs w:val="22"/>
    </w:rPr>
  </w:style>
  <w:style w:type="paragraph" w:styleId="115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159" w:customStyle="1">
    <w:name w:val="font51"/>
    <w:basedOn w:val="756"/>
    <w:uiPriority w:val="0"/>
    <w:qFormat/>
    <w:rPr>
      <w:rFonts w:ascii="Symbol" w:hAnsi="Symbol" w:cs="Symbol"/>
      <w:color w:val="000000"/>
      <w:sz w:val="20"/>
      <w:szCs w:val="20"/>
      <w:u w:val="none"/>
    </w:rPr>
  </w:style>
  <w:style w:type="character" w:styleId="1160" w:customStyle="1">
    <w:name w:val="font31"/>
    <w:basedOn w:val="756"/>
    <w:uiPriority w:val="0"/>
    <w:qFormat/>
    <w:rPr>
      <w:rFonts w:hint="eastAsia" w:ascii="宋体" w:hAnsi="宋体" w:eastAsia="宋体" w:cs="宋体"/>
      <w:color w:val="000000"/>
      <w:sz w:val="20"/>
      <w:szCs w:val="20"/>
      <w:u w:val="none"/>
    </w:rPr>
  </w:style>
  <w:style w:type="paragraph" w:styleId="1161" w:customStyle="1">
    <w:name w:val="_Style 3"/>
    <w:basedOn w:val="746"/>
    <w:uiPriority w:val="0"/>
    <w:qFormat/>
    <w:pPr>
      <w:ind w:firstLine="420"/>
    </w:pPr>
    <w:rPr>
      <w:rFonts w:eastAsia="仿宋_GB2312"/>
      <w:sz w:val="28"/>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CD3D684-0D47-4378-88B7-CCBC9D428EB2}"/>
</file>

<file path=customXml/itemProps2.xml><?xml version="1.0" encoding="utf-8"?>
<ds:datastoreItem xmlns:ds="http://schemas.openxmlformats.org/officeDocument/2006/customXml" ds:itemID="{A17F3140-B51B-4038-A97A-06816F61752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蒋玮婷</cp:lastModifiedBy>
  <cp:revision>37</cp:revision>
  <dcterms:created xsi:type="dcterms:W3CDTF">2024-04-28T03:01:00Z</dcterms:created>
  <dcterms:modified xsi:type="dcterms:W3CDTF">2025-11-11T03:17:53Z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F02A01859D6740EAA57F62DADC0E3452_13</vt:lpwstr>
  </property>
  <property fmtid="{D5CDD505-2E9C-101B-9397-08002B2CF9AE}" pid="4" name="KSOTemplateDocerSaveRecord">
    <vt:lpwstr>eyJoZGlkIjoiZWQ0NDRmYTQ4MzI3ZTI2OWE4YTZjODA4YWM0YzI3ODAiLCJ1c2VySWQiOiI1NjE1OTU0OTYifQ==</vt:lpwstr>
  </property>
</Properties>
</file>